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AA" w:rsidRDefault="005E01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5E01AA" w:rsidRDefault="00C005B0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Yli-Maarian koulun ja päiväkodin vanhempainyhdistys ry</w:t>
      </w:r>
    </w:p>
    <w:p w:rsidR="005E01AA" w:rsidRDefault="00C005B0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Yhdistyksen kokouksen pöytäkirja</w:t>
      </w:r>
    </w:p>
    <w:p w:rsidR="005E01AA" w:rsidRDefault="00C005B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Aika: su 22.11.2020 klo 15.00</w:t>
      </w:r>
    </w:p>
    <w:p w:rsidR="005E01AA" w:rsidRDefault="00C005B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Paikka: Ypsilon, Vähätori sekä Team-verkkokokousmahdollisuus</w:t>
      </w: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Kokouksen avaus 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Puheenjohtaja avasi kokouksen klo 15.00.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Kokouksen läsnäolijat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Paikalla: Marita Kangasniemi (pj.), Anu Harju (siht.), Sanna Laiho, Heidi Roine, Marianne Ulfstedt, Jenni Mikkonen, Merja Dean.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Kokouksen laillisuus ja päätösvaltaisuus 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Kokous on laillinen ja päätösvaltainen.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Esityslistan hyväksyminen 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Lisätään muihin asioihin Marianne Ulfstedtin ehdottomat koulun asiat. 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Edellisen kokouksen pöytäkirjan hyväksyminen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Hyväksytään edellisen kokouksen pöytäkirja. 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Herkkumyynti-tilaukset ja niiden toimitus</w:t>
      </w:r>
    </w:p>
    <w:p w:rsidR="005E01AA" w:rsidRDefault="00C00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Kakkutukku-tilaus (yht. </w:t>
      </w:r>
      <w:r>
        <w:rPr>
          <w:rFonts w:ascii="Arial" w:eastAsia="Arial" w:hAnsi="Arial" w:cs="Arial"/>
          <w:sz w:val="24"/>
          <w:szCs w:val="24"/>
        </w:rPr>
        <w:t xml:space="preserve">554 rasiaa, voitto yhdistykselle 1772,80e) tilattu su 15.11. Toimitus ke 25.11. Moision koululle, jossa käytössä yksi luokka. Tilausten jako torstaina klo 16-19. Vapaaehtoisia auttajia saa tulla mielellään paikalle. 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Turun Asukasbudjetti 2020 tulokset Maaria-Paattinen alueelta</w:t>
      </w:r>
    </w:p>
    <w:p w:rsidR="005E01AA" w:rsidRDefault="00C00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Alla olevat tulokset käyty läpi. Jenni Mikkonen ehdotti valaistusta kouluun menevälle hiekkatielle (Kukkamaariankadulta), vy selvittelee asiaa ja vaikuttamismahdollisuuksia. </w:t>
      </w:r>
    </w:p>
    <w:p w:rsidR="005E01AA" w:rsidRDefault="00C005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Perustetaan Kylätalo</w:t>
      </w:r>
      <w:r>
        <w:rPr>
          <w:rFonts w:ascii="Arial" w:eastAsia="Arial" w:hAnsi="Arial" w:cs="Arial"/>
          <w:color w:val="000000"/>
        </w:rPr>
        <w:t xml:space="preserve"> Maariaan</w:t>
      </w:r>
    </w:p>
    <w:p w:rsidR="005E01AA" w:rsidRDefault="00C005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Työpajoja nuorille</w:t>
      </w:r>
    </w:p>
    <w:p w:rsidR="005E01AA" w:rsidRDefault="00C005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Paattisten luontopolut</w:t>
      </w:r>
    </w:p>
    <w:p w:rsidR="005E01AA" w:rsidRDefault="00C005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Vakiniitun metsään kuntopolku</w:t>
      </w:r>
    </w:p>
    <w:p w:rsidR="005E01AA" w:rsidRDefault="00C005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Laavu Moision kuntoradan läheisyyteen</w:t>
      </w:r>
    </w:p>
    <w:p w:rsidR="005E01AA" w:rsidRDefault="00C005B0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Ajoliikenteen </w:t>
      </w:r>
      <w:r>
        <w:rPr>
          <w:rFonts w:ascii="Arial" w:eastAsia="Arial" w:hAnsi="Arial" w:cs="Arial"/>
          <w:color w:val="000000"/>
        </w:rPr>
        <w:t>hidasteet Yli-Maariaan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Koulun Wilma-viesti alueen nuorten keskuudessa liikkuvista huumausaineista. Miten voimme tehdä yhteistyötä koulun ja alueen muiden toimijoiden kanssa?</w:t>
      </w:r>
    </w:p>
    <w:p w:rsidR="005E01AA" w:rsidRDefault="00C00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Alueellinen KOR-ryhmä perustettu selvittämään asiaa (koulu, sosiaalitoimi, terveydenhuolto, poliisi). Van</w:t>
      </w:r>
      <w:r>
        <w:rPr>
          <w:rFonts w:ascii="Arial" w:eastAsia="Arial" w:hAnsi="Arial" w:cs="Arial"/>
          <w:sz w:val="24"/>
          <w:szCs w:val="24"/>
        </w:rPr>
        <w:t xml:space="preserve">hempainillan järjestämistä mietitty. Pyritään saamaan alueelle lisää harrastustoimintaa, jotta nuorille tekemistä. Nuorten ja vanhempien tietoisuutta asiasta lisättävä. </w:t>
      </w:r>
    </w:p>
    <w:p w:rsidR="005E01AA" w:rsidRDefault="00C00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Vanhempainyhdistys valmis yhteistyöhön, jos on jotain, missä meitä tarvitaan.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Talous</w:t>
      </w:r>
    </w:p>
    <w:p w:rsidR="005E01AA" w:rsidRDefault="00C00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Yhdistyksen talous on hyvässä kunnossa. 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Muut asiat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10.1. - </w:t>
      </w:r>
      <w:r>
        <w:rPr>
          <w:rFonts w:ascii="Arial" w:eastAsia="Arial" w:hAnsi="Arial" w:cs="Arial"/>
          <w:color w:val="000000"/>
          <w:sz w:val="24"/>
          <w:szCs w:val="24"/>
        </w:rPr>
        <w:t>Koululta ja Ypsilonin päiväkodilta on tullut ehdotus, josko voidaan viedä eteenpäin toivetta, että Ypsilonin vieressä olevalle tyhjälle kentälle Kukkamaariankadulla (rakennusaikana parakit) saataisiin kaupungin toimesta pelikenttävaraus. Aluetta voitaisiin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käyttää myös välituntialueena. Nyt suunniteltu kenttä Paakarinkadun puolella on keskellä asutusta. Aloitetaan asian pohjustusta.</w:t>
      </w:r>
    </w:p>
    <w:p w:rsidR="005E01AA" w:rsidRDefault="00C00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Marita alkaa selvittämään asiaa kaupunkisuunnitelulautakunnan kautta. Palataan asiaan seuraavassa kokouksessa.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10.2. - OmaDes</w:t>
      </w:r>
      <w:r>
        <w:rPr>
          <w:rFonts w:ascii="Arial" w:eastAsia="Arial" w:hAnsi="Arial" w:cs="Arial"/>
          <w:sz w:val="24"/>
          <w:szCs w:val="24"/>
        </w:rPr>
        <w:t xml:space="preserve">ign ja luokkakuvat: Luokkakuvat tulleet, toteutettu koulun mukaan heikkotasoisesti. Lisäksi kuvaustilanteessa kuvaaja ojentanut oppilasta ikävästi. Kuvat lähetetty myös Länsikeskukseen eikä koululle. </w:t>
      </w:r>
    </w:p>
    <w:p w:rsidR="005E01AA" w:rsidRDefault="00C00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Ensi vuoden kuvausten osalta tarkennetaan kilpailutukse</w:t>
      </w:r>
      <w:r>
        <w:rPr>
          <w:rFonts w:ascii="Arial" w:eastAsia="Arial" w:hAnsi="Arial" w:cs="Arial"/>
          <w:sz w:val="24"/>
          <w:szCs w:val="24"/>
        </w:rPr>
        <w:t>ssa reunaehtoja ja painotetaan kuvien laadukkuutta. Jos mahdollista, vy järjestää tämän vuoden kuvauksesta mielipidekyselyn.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10.3. - Koulun kotisivut uudistuneet. Tavoitteena olla informatiivinen ja esteetön esim. näkövammaisille. Wilma säilyy kuitenkin edelleen päätiedostuskanavana. Vy:ltä kaivataan palautetta.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10.4. - Yläkouluissa valinnaisaineryhmissä aloitetaan kasvomaskien</w:t>
      </w:r>
      <w:r>
        <w:rPr>
          <w:rFonts w:ascii="Arial" w:eastAsia="Arial" w:hAnsi="Arial" w:cs="Arial"/>
          <w:sz w:val="24"/>
          <w:szCs w:val="24"/>
        </w:rPr>
        <w:t xml:space="preserve"> käyttö. 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10.5. - Yli-Maarian koulu mukana Lindströmin toteuttamassa, kiusaamisen vastaisessa Välitä-kampanjassa. Kiusaamisen vastaista työtä myös muussa koulun arjessa esim. hyvinvointikyselyissä. Vy voisi olla mukana kiusaamisen ja yksinäisyyden vastaisessa työssä</w:t>
      </w:r>
      <w:r>
        <w:rPr>
          <w:rFonts w:ascii="Arial" w:eastAsia="Arial" w:hAnsi="Arial" w:cs="Arial"/>
          <w:sz w:val="24"/>
          <w:szCs w:val="24"/>
        </w:rPr>
        <w:t xml:space="preserve"> esim. kannustamalla tsemppareita tms.  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10.6. - Jäkärlän kentän kunnostuksen puolesta tehtyyn vetoomukseen pyydetty vy:n tukea. Olemme mukana, jatketaan asiaa hallituksen ryhmässä.  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Seuraavan kokouksen aika ja paikka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Seuraava kokous tiistaina 12.1.2021</w:t>
      </w:r>
      <w:r>
        <w:rPr>
          <w:rFonts w:ascii="Arial" w:eastAsia="Arial" w:hAnsi="Arial" w:cs="Arial"/>
          <w:sz w:val="24"/>
          <w:szCs w:val="24"/>
        </w:rPr>
        <w:t xml:space="preserve"> klo 17.30.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Kokouksen päättäminen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 xml:space="preserve">Puheenjohtaja päätti kokouksen klo 16.06. </w:t>
      </w: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E01AA" w:rsidRDefault="005E0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</w:t>
      </w:r>
    </w:p>
    <w:p w:rsidR="005E01AA" w:rsidRDefault="00C00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Puheenjohtaja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Sihteeri</w:t>
      </w:r>
    </w:p>
    <w:sectPr w:rsidR="005E01AA">
      <w:headerReference w:type="even" r:id="rId8"/>
      <w:headerReference w:type="default" r:id="rId9"/>
      <w:headerReference w:type="first" r:id="rId10"/>
      <w:pgSz w:w="11907" w:h="16840"/>
      <w:pgMar w:top="1134" w:right="1134" w:bottom="851" w:left="1134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B0" w:rsidRDefault="00C005B0">
      <w:pPr>
        <w:spacing w:after="0" w:line="240" w:lineRule="auto"/>
      </w:pPr>
      <w:r>
        <w:separator/>
      </w:r>
    </w:p>
  </w:endnote>
  <w:endnote w:type="continuationSeparator" w:id="0">
    <w:p w:rsidR="00C005B0" w:rsidRDefault="00C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B0" w:rsidRDefault="00C005B0">
      <w:pPr>
        <w:spacing w:after="0" w:line="240" w:lineRule="auto"/>
      </w:pPr>
      <w:r>
        <w:separator/>
      </w:r>
    </w:p>
  </w:footnote>
  <w:footnote w:type="continuationSeparator" w:id="0">
    <w:p w:rsidR="00C005B0" w:rsidRDefault="00C0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AA" w:rsidRDefault="005E01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AA" w:rsidRDefault="005E01A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9677" w:type="dxa"/>
      <w:tblLayout w:type="fixed"/>
      <w:tblLook w:val="0000" w:firstRow="0" w:lastRow="0" w:firstColumn="0" w:lastColumn="0" w:noHBand="0" w:noVBand="0"/>
    </w:tblPr>
    <w:tblGrid>
      <w:gridCol w:w="5229"/>
      <w:gridCol w:w="3358"/>
      <w:gridCol w:w="1090"/>
    </w:tblGrid>
    <w:tr w:rsidR="005E01AA">
      <w:trPr>
        <w:trHeight w:val="301"/>
      </w:trPr>
      <w:tc>
        <w:tcPr>
          <w:tcW w:w="5229" w:type="dxa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3358" w:type="dxa"/>
          <w:vAlign w:val="center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1090" w:type="dxa"/>
          <w:vAlign w:val="center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jc w:val="right"/>
            <w:rPr>
              <w:color w:val="000000"/>
            </w:rPr>
          </w:pPr>
        </w:p>
      </w:tc>
    </w:tr>
  </w:tbl>
  <w:p w:rsidR="005E01AA" w:rsidRDefault="00C005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FF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-713738</wp:posOffset>
          </wp:positionH>
          <wp:positionV relativeFrom="paragraph">
            <wp:posOffset>-701039</wp:posOffset>
          </wp:positionV>
          <wp:extent cx="1835150" cy="17970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AA" w:rsidRDefault="005E01A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7634" w:type="dxa"/>
      <w:tblLayout w:type="fixed"/>
      <w:tblLook w:val="0000" w:firstRow="0" w:lastRow="0" w:firstColumn="0" w:lastColumn="0" w:noHBand="0" w:noVBand="0"/>
    </w:tblPr>
    <w:tblGrid>
      <w:gridCol w:w="4126"/>
      <w:gridCol w:w="2649"/>
      <w:gridCol w:w="859"/>
    </w:tblGrid>
    <w:tr w:rsidR="005E01AA">
      <w:trPr>
        <w:trHeight w:val="343"/>
      </w:trPr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spacing w:before="240"/>
            <w:rPr>
              <w:color w:val="000000"/>
            </w:rPr>
          </w:pPr>
        </w:p>
      </w:tc>
      <w:tc>
        <w:tcPr>
          <w:tcW w:w="0" w:type="auto"/>
          <w:vAlign w:val="center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  <w:vAlign w:val="center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jc w:val="right"/>
            <w:rPr>
              <w:color w:val="000000"/>
            </w:rPr>
          </w:pPr>
        </w:p>
      </w:tc>
    </w:tr>
    <w:tr w:rsidR="005E01AA">
      <w:trPr>
        <w:trHeight w:val="181"/>
      </w:trPr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</w:tr>
    <w:tr w:rsidR="005E01AA">
      <w:trPr>
        <w:trHeight w:val="175"/>
      </w:trPr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</w:tr>
    <w:tr w:rsidR="005E01AA">
      <w:trPr>
        <w:trHeight w:val="175"/>
      </w:trPr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5E01AA" w:rsidRDefault="005E0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</w:tr>
  </w:tbl>
  <w:p w:rsidR="005E01AA" w:rsidRDefault="00C005B0"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-1335404</wp:posOffset>
          </wp:positionV>
          <wp:extent cx="1778000" cy="174117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0" cy="174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01AA" w:rsidRDefault="005E0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538"/>
    <w:multiLevelType w:val="multilevel"/>
    <w:tmpl w:val="BED0E3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C0373F"/>
    <w:multiLevelType w:val="multilevel"/>
    <w:tmpl w:val="3A681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20460"/>
    <w:multiLevelType w:val="multilevel"/>
    <w:tmpl w:val="F7F05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3724"/>
    <w:multiLevelType w:val="multilevel"/>
    <w:tmpl w:val="1E6C5D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1F833E1"/>
    <w:multiLevelType w:val="multilevel"/>
    <w:tmpl w:val="13502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84D0437"/>
    <w:multiLevelType w:val="multilevel"/>
    <w:tmpl w:val="E4DE98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E6A0ABA"/>
    <w:multiLevelType w:val="multilevel"/>
    <w:tmpl w:val="67D0F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65F2671"/>
    <w:multiLevelType w:val="multilevel"/>
    <w:tmpl w:val="DA7E9E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AA"/>
    <w:rsid w:val="00473534"/>
    <w:rsid w:val="005E01AA"/>
    <w:rsid w:val="00C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2AB7-4C7A-431C-9D6C-206F243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863"/>
  </w:style>
  <w:style w:type="paragraph" w:styleId="Heading1">
    <w:name w:val="heading 1"/>
    <w:basedOn w:val="Normal"/>
    <w:next w:val="Normal"/>
    <w:link w:val="Heading1Char"/>
    <w:qFormat/>
    <w:rsid w:val="00E40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2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0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0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0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E400A6"/>
    <w:rPr>
      <w:b/>
      <w:bCs/>
    </w:rPr>
  </w:style>
  <w:style w:type="character" w:styleId="IntenseReference">
    <w:name w:val="Intense Reference"/>
    <w:basedOn w:val="DefaultParagraphFont"/>
    <w:uiPriority w:val="68"/>
    <w:qFormat/>
    <w:rsid w:val="00E400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72"/>
    <w:qFormat/>
    <w:rsid w:val="000B6C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52E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aTAH6Zlymwt3AJ7HWQHefXL4Q==">AMUW2mWYFPpcVQjNMw9W1eOSh1YvM2pwjeIRhpNAxeJBtxLuQh+Mwh0QskgHbXddyCRmVsmIv9HBr7P6fK8ig0HUVRbFJMrsMZbmmPRNjgTr4RvvlZFXuH3fJoLSsYWH1oZidawLkKaA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Ilola Taru</dc:creator>
  <cp:lastModifiedBy>Ilola Taru</cp:lastModifiedBy>
  <cp:revision>2</cp:revision>
  <dcterms:created xsi:type="dcterms:W3CDTF">2021-03-24T08:34:00Z</dcterms:created>
  <dcterms:modified xsi:type="dcterms:W3CDTF">2021-03-24T08:34:00Z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0x01010035A879CD8231C8488D9D5747D1C23C4F</vt:lpwstr>
  </property>
</Properties>
</file>