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DA" w:rsidRDefault="006D53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6D53DA" w:rsidRDefault="002C52B4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Yli-Maarian koulun ja päiväkodin vanhempainyhdistys ry</w:t>
      </w:r>
    </w:p>
    <w:p w:rsidR="006D53DA" w:rsidRDefault="002C52B4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Yhdistyksen ko</w:t>
      </w:r>
      <w:r>
        <w:rPr>
          <w:rFonts w:ascii="Arial" w:eastAsia="Arial" w:hAnsi="Arial" w:cs="Arial"/>
          <w:b/>
          <w:sz w:val="24"/>
          <w:szCs w:val="24"/>
        </w:rPr>
        <w:tab/>
        <w:t>Kokouksen pöytäkirja</w:t>
      </w:r>
    </w:p>
    <w:p w:rsidR="006D53DA" w:rsidRDefault="002C52B4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Aika: ti 6.10.2020 klo 18.00</w:t>
      </w:r>
    </w:p>
    <w:p w:rsidR="006D53DA" w:rsidRDefault="002C52B4">
      <w:pPr>
        <w:spacing w:line="360" w:lineRule="auto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</w:rPr>
        <w:t>Paikka: Ypsilon, Vähätori sekä Teams-verkkokokousmahdollisuus</w:t>
      </w:r>
    </w:p>
    <w:p w:rsidR="006D53DA" w:rsidRDefault="002C52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Kokouksen avaus </w:t>
      </w:r>
    </w:p>
    <w:p w:rsidR="006D53DA" w:rsidRDefault="002C52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Kokous avattiin klo 18.02.</w:t>
      </w:r>
    </w:p>
    <w:p w:rsidR="006D53DA" w:rsidRDefault="006D53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D53DA" w:rsidRDefault="002C52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Kokouksen läsnäolijat</w:t>
      </w:r>
    </w:p>
    <w:p w:rsidR="006D53DA" w:rsidRDefault="002C52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Taru Ilola (puheenjohtaja), Sanna Laiho (ääntenlaskija), Sanna Heljakka, Maria Nukarinen, Anu Harju (sihteeri), Kirsi Männistö, Marita Kangasniemi, Elina Jalonen, Matti Nurminen, Marianne Ulfstedt (klo 19.00 alkaen)</w:t>
      </w:r>
    </w:p>
    <w:p w:rsidR="006D53DA" w:rsidRDefault="006D53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6D53DA" w:rsidRDefault="002C52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Kokouksen laillisuus ja päätösvaltaisuu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 </w:t>
      </w:r>
    </w:p>
    <w:p w:rsidR="006D53DA" w:rsidRDefault="002C52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Kokous on laillinen ja päätösvaltainen.</w:t>
      </w:r>
    </w:p>
    <w:p w:rsidR="006D53DA" w:rsidRDefault="006D53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6D53DA" w:rsidRDefault="002C52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Esityslistan hyväksyminen </w:t>
      </w:r>
    </w:p>
    <w:p w:rsidR="006D53DA" w:rsidRDefault="002C52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Hyväksytään esityslista sellaisenaan.</w:t>
      </w:r>
    </w:p>
    <w:p w:rsidR="006D53DA" w:rsidRDefault="006D53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6D53DA" w:rsidRDefault="002C52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Edellisen kokouksen pöytäkirjan hyväksyminen</w:t>
      </w:r>
    </w:p>
    <w:p w:rsidR="006D53DA" w:rsidRDefault="002C52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Hyväksytään edellisen kokouksen pöytäkirja. </w:t>
      </w:r>
    </w:p>
    <w:p w:rsidR="006D53DA" w:rsidRDefault="006D53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6D53DA" w:rsidRDefault="002C52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Sähköiset päätökset</w:t>
      </w:r>
    </w:p>
    <w:p w:rsidR="006D53DA" w:rsidRDefault="002C52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Tehty sähköinen päätös, että hankitaan ulkotapahtumaan 500 kpl heijastimia, jotka on jo tilattu. Saapuvat ennen tilaisuutta. Hinta n. 700 e.</w:t>
      </w:r>
    </w:p>
    <w:p w:rsidR="006D53DA" w:rsidRDefault="006D53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6D53DA" w:rsidRDefault="002C52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Lokakuun jäsenhankintatempauksen ideointi, 25.10. klo 17-19 Ypsilonin piha</w:t>
      </w:r>
    </w:p>
    <w:p w:rsidR="006D53DA" w:rsidRDefault="002C52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Keskusteltiin tempauksen järjestämisest</w:t>
      </w:r>
      <w:r>
        <w:rPr>
          <w:rFonts w:ascii="Arial" w:eastAsia="Arial" w:hAnsi="Arial" w:cs="Arial"/>
          <w:sz w:val="24"/>
          <w:szCs w:val="24"/>
        </w:rPr>
        <w:t>ä korona-aikana. Äänestettiin mahdollisesta tapahtumasta: pidetään etätapahtumana (esim. QR-koodirata tai perheiden itsenäisesti suoritettava tehtävärata). Liitetään aiheiksi mukaan pyöräturvallisuus ja heijastimet. Poliisin Liikenneturva-sivuilta voi löyt</w:t>
      </w:r>
      <w:r>
        <w:rPr>
          <w:rFonts w:ascii="Arial" w:eastAsia="Arial" w:hAnsi="Arial" w:cs="Arial"/>
          <w:sz w:val="24"/>
          <w:szCs w:val="24"/>
        </w:rPr>
        <w:t>yä sopivaa materiaalia.</w:t>
      </w:r>
    </w:p>
    <w:p w:rsidR="006D53DA" w:rsidRDefault="002C52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Työryhmä etätapahtumaa varten: Kirsi, Taru, Elina, Marita. </w:t>
      </w:r>
    </w:p>
    <w:p w:rsidR="006D53DA" w:rsidRDefault="006D53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6D53DA" w:rsidRDefault="002C52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Koulun lautapelihankintojen päätös</w:t>
      </w:r>
    </w:p>
    <w:p w:rsidR="006D53DA" w:rsidRDefault="002C5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Rehtori lähettänyt vy:lle pyynnön tukea lautapelihankintoja. Erilaisten lautapelien budjetti yhteensä 40 peliä, n. 1000 e. Lisäksi toiveena on saada ulkoshakkipelit (n. 600 e kpl). </w:t>
      </w:r>
    </w:p>
    <w:p w:rsidR="006D53DA" w:rsidRDefault="002C5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Rehtorilta pyydettiin lisäselvitystä asiaan. Ypsilonin pihalta löytyy ruudukko ulkoshakkia varten, Moision koulun pihalle on mahdollista maalata ruudukko. Kaupungilta ei ole tulossa tukea shakkinappuloiden hankintaan. Toisaalta on myös muistettava, että vy</w:t>
      </w:r>
      <w:r>
        <w:rPr>
          <w:rFonts w:ascii="Arial" w:eastAsia="Arial" w:hAnsi="Arial" w:cs="Arial"/>
          <w:sz w:val="24"/>
          <w:szCs w:val="24"/>
        </w:rPr>
        <w:t xml:space="preserve"> on jo tukenut koulua pyörien hankkimisella ja budjetoinut välituntitoiminnan tukemiseen 1000 e. </w:t>
      </w:r>
    </w:p>
    <w:p w:rsidR="006D53DA" w:rsidRDefault="002C5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Palataan asiaan seuraavassa kokouksessa.</w:t>
      </w:r>
    </w:p>
    <w:p w:rsidR="006D53DA" w:rsidRDefault="006D53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D53DA" w:rsidRDefault="002C52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Varainkeruu / Kakkutukku</w:t>
      </w:r>
    </w:p>
    <w:p w:rsidR="006D53DA" w:rsidRDefault="002C52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Maria, Sanna L. ja Anu hoitavat Kakkutukku-tilausta eteenpäin. Pitävät palaverin viimeistää</w:t>
      </w:r>
      <w:r>
        <w:rPr>
          <w:rFonts w:ascii="Arial" w:eastAsia="Arial" w:hAnsi="Arial" w:cs="Arial"/>
          <w:sz w:val="24"/>
          <w:szCs w:val="24"/>
        </w:rPr>
        <w:t>n ensi viikolla ja infoavat sitten muita. Katsotaan aikataulua yms. myöhemmin.</w:t>
      </w:r>
    </w:p>
    <w:p w:rsidR="006D53DA" w:rsidRDefault="006D53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D53DA" w:rsidRDefault="002C52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Sääntömuutoskokouksen ajankohta</w:t>
      </w:r>
    </w:p>
    <w:p w:rsidR="006D53DA" w:rsidRDefault="002C52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Pidetään sääntömuutoskokous 25.10. klo 15. Taru varaa Vähätorin, lisäksi on mahdollista osallistua Teams-kokouksella. </w:t>
      </w:r>
    </w:p>
    <w:p w:rsidR="006D53DA" w:rsidRDefault="006D53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D53DA" w:rsidRDefault="002C52B4">
      <w:pPr>
        <w:numPr>
          <w:ilvl w:val="0"/>
          <w:numId w:val="8"/>
        </w:num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Seuraavan kokouksen ajankohta</w:t>
      </w:r>
    </w:p>
    <w:p w:rsidR="006D53DA" w:rsidRDefault="006D53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D53DA" w:rsidRDefault="002C52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Seuraava kokous pidetään sääntömuutoskokouksen yhteydessä.</w:t>
      </w:r>
    </w:p>
    <w:p w:rsidR="006D53DA" w:rsidRDefault="006D53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D53DA" w:rsidRDefault="002C52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Muita asioita</w:t>
      </w:r>
    </w:p>
    <w:p w:rsidR="006D53DA" w:rsidRDefault="002C5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Rehtori kertoi, että viime viikon koronatartunnan jälkeen koulussa pidetään kiinni turvaväleistä ja käsihygieniasta.</w:t>
      </w:r>
    </w:p>
    <w:p w:rsidR="006D53DA" w:rsidRDefault="002C5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Koulun pihan kunnostaminen: Rehtori on kysynyt asiasta ja tehnyt reklamaation kolme viikkoa sitten. Erityisesti rinne ja liukumäki ovat huonossa kunnossa. </w:t>
      </w:r>
    </w:p>
    <w:p w:rsidR="006D53DA" w:rsidRDefault="002C5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Sisäilmatutkimukset: Moision koulun kulmaluokkaa tutkitaan vielä uudelleen, koska siellä on käyttäjien mukaan outo haju. </w:t>
      </w:r>
    </w:p>
    <w:p w:rsidR="006D53DA" w:rsidRDefault="002C52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Tällä hetkellä luokka ei ole opetuskäytössä. Pyydettiin raportti vanhempainyhdistyksen nähtäväksi. </w:t>
      </w:r>
    </w:p>
    <w:p w:rsidR="006D53DA" w:rsidRDefault="002C5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Sekä Ypsilonin että Moision päiväk</w:t>
      </w:r>
      <w:r>
        <w:rPr>
          <w:rFonts w:ascii="Arial" w:eastAsia="Arial" w:hAnsi="Arial" w:cs="Arial"/>
          <w:sz w:val="24"/>
          <w:szCs w:val="24"/>
        </w:rPr>
        <w:t xml:space="preserve">otien valokuvaukset ovat lokakuussa. </w:t>
      </w:r>
    </w:p>
    <w:p w:rsidR="006D53DA" w:rsidRDefault="006D53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Arial" w:eastAsia="Arial" w:hAnsi="Arial" w:cs="Arial"/>
          <w:sz w:val="24"/>
          <w:szCs w:val="24"/>
        </w:rPr>
      </w:pPr>
    </w:p>
    <w:p w:rsidR="006D53DA" w:rsidRDefault="002C52B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Kokouksen päättäminen</w:t>
      </w:r>
    </w:p>
    <w:p w:rsidR="006D53DA" w:rsidRDefault="002C52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Kokous päätettiin klo 19.30.</w:t>
      </w:r>
    </w:p>
    <w:p w:rsidR="006D53DA" w:rsidRDefault="006D53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6D53DA" w:rsidRDefault="006D53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6D53DA" w:rsidRDefault="002C52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</w:t>
      </w:r>
    </w:p>
    <w:p w:rsidR="006D53DA" w:rsidRDefault="00E42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Taru Ilola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Anu Harju</w:t>
      </w:r>
      <w:bookmarkStart w:id="2" w:name="_GoBack"/>
      <w:bookmarkEnd w:id="2"/>
    </w:p>
    <w:sectPr w:rsidR="006D53DA">
      <w:headerReference w:type="even" r:id="rId8"/>
      <w:headerReference w:type="default" r:id="rId9"/>
      <w:headerReference w:type="first" r:id="rId10"/>
      <w:pgSz w:w="11907" w:h="16840"/>
      <w:pgMar w:top="1134" w:right="1134" w:bottom="851" w:left="1134" w:header="6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B4" w:rsidRDefault="002C52B4">
      <w:pPr>
        <w:spacing w:after="0" w:line="240" w:lineRule="auto"/>
      </w:pPr>
      <w:r>
        <w:separator/>
      </w:r>
    </w:p>
  </w:endnote>
  <w:endnote w:type="continuationSeparator" w:id="0">
    <w:p w:rsidR="002C52B4" w:rsidRDefault="002C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B4" w:rsidRDefault="002C52B4">
      <w:pPr>
        <w:spacing w:after="0" w:line="240" w:lineRule="auto"/>
      </w:pPr>
      <w:r>
        <w:separator/>
      </w:r>
    </w:p>
  </w:footnote>
  <w:footnote w:type="continuationSeparator" w:id="0">
    <w:p w:rsidR="002C52B4" w:rsidRDefault="002C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DA" w:rsidRDefault="006D53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DA" w:rsidRDefault="006D53D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"/>
      <w:tblW w:w="9677" w:type="dxa"/>
      <w:tblLayout w:type="fixed"/>
      <w:tblLook w:val="0000" w:firstRow="0" w:lastRow="0" w:firstColumn="0" w:lastColumn="0" w:noHBand="0" w:noVBand="0"/>
    </w:tblPr>
    <w:tblGrid>
      <w:gridCol w:w="5229"/>
      <w:gridCol w:w="3358"/>
      <w:gridCol w:w="1090"/>
    </w:tblGrid>
    <w:tr w:rsidR="006D53DA">
      <w:trPr>
        <w:trHeight w:val="301"/>
      </w:trPr>
      <w:tc>
        <w:tcPr>
          <w:tcW w:w="5229" w:type="dxa"/>
        </w:tcPr>
        <w:p w:rsidR="006D53DA" w:rsidRDefault="006D5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3358" w:type="dxa"/>
          <w:vAlign w:val="center"/>
        </w:tcPr>
        <w:p w:rsidR="006D53DA" w:rsidRDefault="006D5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1090" w:type="dxa"/>
          <w:vAlign w:val="center"/>
        </w:tcPr>
        <w:p w:rsidR="006D53DA" w:rsidRDefault="006D5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jc w:val="right"/>
            <w:rPr>
              <w:color w:val="000000"/>
            </w:rPr>
          </w:pPr>
        </w:p>
      </w:tc>
    </w:tr>
  </w:tbl>
  <w:p w:rsidR="006D53DA" w:rsidRDefault="002C52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FF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-713738</wp:posOffset>
          </wp:positionH>
          <wp:positionV relativeFrom="paragraph">
            <wp:posOffset>-701039</wp:posOffset>
          </wp:positionV>
          <wp:extent cx="1835150" cy="17970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150" cy="179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DA" w:rsidRDefault="006D53D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7634" w:type="dxa"/>
      <w:tblLayout w:type="fixed"/>
      <w:tblLook w:val="0000" w:firstRow="0" w:lastRow="0" w:firstColumn="0" w:lastColumn="0" w:noHBand="0" w:noVBand="0"/>
    </w:tblPr>
    <w:tblGrid>
      <w:gridCol w:w="4126"/>
      <w:gridCol w:w="2649"/>
      <w:gridCol w:w="859"/>
    </w:tblGrid>
    <w:tr w:rsidR="006D53DA">
      <w:trPr>
        <w:trHeight w:val="343"/>
      </w:trPr>
      <w:tc>
        <w:tcPr>
          <w:tcW w:w="0" w:type="auto"/>
        </w:tcPr>
        <w:p w:rsidR="006D53DA" w:rsidRDefault="006D5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spacing w:before="240"/>
            <w:rPr>
              <w:color w:val="000000"/>
            </w:rPr>
          </w:pPr>
        </w:p>
      </w:tc>
      <w:tc>
        <w:tcPr>
          <w:tcW w:w="0" w:type="auto"/>
          <w:vAlign w:val="center"/>
        </w:tcPr>
        <w:p w:rsidR="006D53DA" w:rsidRDefault="006D5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0" w:type="auto"/>
          <w:vAlign w:val="center"/>
        </w:tcPr>
        <w:p w:rsidR="006D53DA" w:rsidRDefault="006D5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jc w:val="right"/>
            <w:rPr>
              <w:color w:val="000000"/>
            </w:rPr>
          </w:pPr>
        </w:p>
      </w:tc>
    </w:tr>
    <w:tr w:rsidR="006D53DA">
      <w:trPr>
        <w:trHeight w:val="181"/>
      </w:trPr>
      <w:tc>
        <w:tcPr>
          <w:tcW w:w="0" w:type="auto"/>
        </w:tcPr>
        <w:p w:rsidR="006D53DA" w:rsidRDefault="006D5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0" w:type="auto"/>
        </w:tcPr>
        <w:p w:rsidR="006D53DA" w:rsidRDefault="006D5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0" w:type="auto"/>
        </w:tcPr>
        <w:p w:rsidR="006D53DA" w:rsidRDefault="006D5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</w:tr>
    <w:tr w:rsidR="006D53DA">
      <w:trPr>
        <w:trHeight w:val="175"/>
      </w:trPr>
      <w:tc>
        <w:tcPr>
          <w:tcW w:w="0" w:type="auto"/>
        </w:tcPr>
        <w:p w:rsidR="006D53DA" w:rsidRDefault="006D5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0" w:type="auto"/>
        </w:tcPr>
        <w:p w:rsidR="006D53DA" w:rsidRDefault="006D5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0" w:type="auto"/>
        </w:tcPr>
        <w:p w:rsidR="006D53DA" w:rsidRDefault="006D5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</w:tr>
    <w:tr w:rsidR="006D53DA">
      <w:trPr>
        <w:trHeight w:val="175"/>
      </w:trPr>
      <w:tc>
        <w:tcPr>
          <w:tcW w:w="0" w:type="auto"/>
        </w:tcPr>
        <w:p w:rsidR="006D53DA" w:rsidRDefault="006D5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0" w:type="auto"/>
        </w:tcPr>
        <w:p w:rsidR="006D53DA" w:rsidRDefault="006D5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  <w:tc>
        <w:tcPr>
          <w:tcW w:w="0" w:type="auto"/>
        </w:tcPr>
        <w:p w:rsidR="006D53DA" w:rsidRDefault="006D53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5216"/>
              <w:tab w:val="right" w:pos="9720"/>
            </w:tabs>
            <w:rPr>
              <w:color w:val="000000"/>
            </w:rPr>
          </w:pPr>
        </w:p>
      </w:tc>
    </w:tr>
  </w:tbl>
  <w:p w:rsidR="006D53DA" w:rsidRDefault="002C52B4"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-1335404</wp:posOffset>
          </wp:positionV>
          <wp:extent cx="1778000" cy="174117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000" cy="174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3DA" w:rsidRDefault="006D53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3EAF"/>
    <w:multiLevelType w:val="multilevel"/>
    <w:tmpl w:val="EE68D1F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26B3505E"/>
    <w:multiLevelType w:val="multilevel"/>
    <w:tmpl w:val="E2A69A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8071CAD"/>
    <w:multiLevelType w:val="multilevel"/>
    <w:tmpl w:val="A17C83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B0F5F5B"/>
    <w:multiLevelType w:val="multilevel"/>
    <w:tmpl w:val="02D287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1BE54E0"/>
    <w:multiLevelType w:val="multilevel"/>
    <w:tmpl w:val="9D207E8E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488B4509"/>
    <w:multiLevelType w:val="multilevel"/>
    <w:tmpl w:val="4E72E46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0D46923"/>
    <w:multiLevelType w:val="multilevel"/>
    <w:tmpl w:val="7D9092C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0F60C71"/>
    <w:multiLevelType w:val="multilevel"/>
    <w:tmpl w:val="E2D0DF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6EB0D3B"/>
    <w:multiLevelType w:val="multilevel"/>
    <w:tmpl w:val="A8F41B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DA"/>
    <w:rsid w:val="002C52B4"/>
    <w:rsid w:val="006D53DA"/>
    <w:rsid w:val="00E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45724-441C-4EEB-B9B5-5F3B852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863"/>
  </w:style>
  <w:style w:type="paragraph" w:styleId="Heading1">
    <w:name w:val="heading 1"/>
    <w:basedOn w:val="Normal"/>
    <w:next w:val="Normal"/>
    <w:link w:val="Heading1Char"/>
    <w:qFormat/>
    <w:rsid w:val="00E40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40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F2597D"/>
  </w:style>
  <w:style w:type="character" w:customStyle="1" w:styleId="Kappaleenoletuskirjasin10">
    <w:name w:val="Kappaleen oletuskirjasin1"/>
    <w:semiHidden/>
    <w:unhideWhenUsed/>
    <w:rsid w:val="00810DBD"/>
  </w:style>
  <w:style w:type="character" w:customStyle="1" w:styleId="Kappaleenoletuskirjasin11">
    <w:name w:val="Kappaleen oletuskirjasin1"/>
    <w:uiPriority w:val="1"/>
    <w:semiHidden/>
    <w:unhideWhenUsed/>
    <w:rsid w:val="0038327A"/>
  </w:style>
  <w:style w:type="paragraph" w:styleId="Header">
    <w:name w:val="header"/>
    <w:basedOn w:val="Normal"/>
    <w:semiHidden/>
    <w:rsid w:val="00CA5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5C6C"/>
    <w:pPr>
      <w:tabs>
        <w:tab w:val="center" w:pos="4320"/>
        <w:tab w:val="right" w:pos="8640"/>
      </w:tabs>
    </w:pPr>
  </w:style>
  <w:style w:type="character" w:styleId="PageNumber">
    <w:name w:val="page number"/>
    <w:basedOn w:val="Kappaleenoletuskirjasin11"/>
    <w:semiHidden/>
    <w:rsid w:val="00087FCF"/>
  </w:style>
  <w:style w:type="table" w:styleId="TableGrid">
    <w:name w:val="Table Grid"/>
    <w:basedOn w:val="TableNormal"/>
    <w:semiHidden/>
    <w:rsid w:val="0008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ennys">
    <w:name w:val="Sisennys"/>
    <w:basedOn w:val="Normal"/>
    <w:rsid w:val="003E7430"/>
    <w:pPr>
      <w:ind w:left="2608"/>
    </w:pPr>
  </w:style>
  <w:style w:type="paragraph" w:styleId="BalloonText">
    <w:name w:val="Balloon Text"/>
    <w:basedOn w:val="Normal"/>
    <w:link w:val="BalloonTextChar"/>
    <w:rsid w:val="00160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"/>
    <w:link w:val="BalloonText"/>
    <w:rsid w:val="00160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25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0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0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qFormat/>
    <w:rsid w:val="00E400A6"/>
    <w:rPr>
      <w:b/>
      <w:bCs/>
    </w:rPr>
  </w:style>
  <w:style w:type="character" w:styleId="IntenseReference">
    <w:name w:val="Intense Reference"/>
    <w:basedOn w:val="DefaultParagraphFont"/>
    <w:uiPriority w:val="68"/>
    <w:qFormat/>
    <w:rsid w:val="00E400A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72"/>
    <w:qFormat/>
    <w:rsid w:val="000B6C4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p6SjeBtLRSGlO1xd0bZ6mY7Tw==">AMUW2mXp9gd3NkaUOvBXnJA5sxzUlKeNMKbRnqFPKWIWx2jJeysDc++4FaVaB3Tf3KFixGoDaah9c7CT5T4la7i9PR/z1ilqLg/DYv70KpHejN4dO+eJCO4K4F8IBFooh+lH4pJ1E4dQ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Ilola Taru</dc:creator>
  <cp:lastModifiedBy>Ilola Taru</cp:lastModifiedBy>
  <cp:revision>2</cp:revision>
  <dcterms:created xsi:type="dcterms:W3CDTF">2020-10-24T15:37:00Z</dcterms:created>
  <dcterms:modified xsi:type="dcterms:W3CDTF">2020-10-24T15:37:00Z</dcterms:modified>
</cp:coreProperties>
</file>