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1C62" w14:textId="77777777" w:rsidR="00931674" w:rsidRDefault="00931674" w:rsidP="00931674">
      <w:pPr>
        <w:pStyle w:val="Rubrik1"/>
      </w:pPr>
      <w:r>
        <w:t>TET-sopimus</w:t>
      </w:r>
    </w:p>
    <w:p w14:paraId="0B58D716" w14:textId="77777777"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98"/>
        <w:gridCol w:w="1695"/>
        <w:gridCol w:w="1419"/>
        <w:gridCol w:w="990"/>
        <w:gridCol w:w="151"/>
        <w:gridCol w:w="3174"/>
      </w:tblGrid>
      <w:tr w:rsidR="00F75E70" w:rsidRPr="005D1655" w14:paraId="7DA4B9D9" w14:textId="77777777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027A7" w14:textId="77777777"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E2881" w14:textId="77777777" w:rsidR="00F75E70" w:rsidRPr="005D1655" w:rsidRDefault="00BC49AB" w:rsidP="003977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22</w:t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25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22</w:t>
            </w:r>
          </w:p>
        </w:tc>
      </w:tr>
      <w:tr w:rsidR="004B1170" w:rsidRPr="005D1655" w14:paraId="20333927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A3A2" w14:textId="77777777"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4439D" w14:textId="77777777"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295A3" w14:textId="77777777"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14:paraId="6E802088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AB5" w14:textId="77777777"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C2A2" w14:textId="77777777"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FA029" w14:textId="77777777"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14:paraId="0AD1F9E2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E0DD" w14:textId="77777777"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B6803" w14:textId="77777777" w:rsidR="002928B7" w:rsidRPr="005D1655" w:rsidRDefault="0019177A" w:rsidP="00A77A6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Sirkkalankatu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39</w:t>
            </w:r>
          </w:p>
        </w:tc>
      </w:tr>
      <w:tr w:rsidR="008D5F0F" w:rsidRPr="005D1655" w14:paraId="6E2E7B0C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0ED2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15F36" w14:textId="77777777"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</w:t>
            </w:r>
            <w:r w:rsidR="0019177A">
              <w:rPr>
                <w:rFonts w:cs="Arial"/>
                <w:b/>
                <w:noProof/>
                <w:sz w:val="24"/>
                <w:szCs w:val="24"/>
              </w:rPr>
              <w:t>edu.</w:t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26FB0" w:rsidRPr="005D1655" w14:paraId="2A135179" w14:textId="77777777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372CC" w14:textId="77777777"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7C444" w14:textId="77777777"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13B78" w14:textId="77777777"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14:paraId="5F674D7C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17E" w14:textId="77777777"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83400" w14:textId="77777777"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FCD0E" w14:textId="77777777"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A3886" w14:textId="77777777"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8D5F0F" w:rsidRPr="005D1655" w14:paraId="0492A19A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81F7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CA9422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1A70D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14:paraId="605DD32A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3870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BD7C999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14:paraId="358ECBF6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D145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BB03D5" w14:textId="77777777"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14:paraId="47AD0A92" w14:textId="77777777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35E14" w14:textId="77777777"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14:paraId="2E352833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4CB1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A1159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83E26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14:paraId="7DFE5378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F1B0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76BB983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14:paraId="5AB8C8DB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14:paraId="05ADBCAB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199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B76BFED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14:paraId="3B1FA4BB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03A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A58C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14:paraId="7B9F16E0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6E9A" w14:textId="77777777"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2ED87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14:paraId="10E662A4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907B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C70F6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14:paraId="6ECE8B44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D5D0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17B27" w14:textId="77777777"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14:paraId="7B0EACC2" w14:textId="77777777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1928A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F5BBA" w14:textId="77777777"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14:paraId="239772C7" w14:textId="77777777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68589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E3DCABB" w14:textId="77777777"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14:paraId="0CF182F8" w14:textId="77777777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B061A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BC5C3B4" w14:textId="77777777"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14:paraId="36507C81" w14:textId="77777777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A2EE0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25057D" w14:textId="77777777"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14:paraId="4FEA4712" w14:textId="77777777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3083" w14:textId="77777777"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2EEA6" w14:textId="77777777" w:rsidR="008D5F0F" w:rsidRPr="005D1655" w:rsidRDefault="008D5F0F" w:rsidP="005D1655">
            <w:pPr>
              <w:pStyle w:val="Liststyck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14:paraId="1345EEF8" w14:textId="77777777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5658A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53D77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14:paraId="3713F25F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14:paraId="6BD6DE64" w14:textId="77777777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D6C5E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34EE8" w14:textId="77777777"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14:paraId="4D325D67" w14:textId="77777777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8071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227ED" w14:textId="77777777"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14:paraId="74C3627A" w14:textId="77777777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1C00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CEED6" w14:textId="77777777"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14:paraId="24BF22B4" w14:textId="77777777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A5E141" w14:textId="77777777"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14:paraId="05907B3C" w14:textId="77777777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0DAF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0D88E" w14:textId="77777777"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14:paraId="49922104" w14:textId="77777777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45064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61CCA84" w14:textId="77777777"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14:paraId="71D77F88" w14:textId="77777777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620F" w14:textId="77777777"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103977E" w14:textId="77777777"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5FCE">
              <w:rPr>
                <w:rFonts w:cs="Arial"/>
                <w:sz w:val="20"/>
                <w:szCs w:val="20"/>
              </w:rPr>
            </w:r>
            <w:r w:rsidR="00405FCE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14:paraId="04AA1609" w14:textId="77777777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7E89" w14:textId="77777777"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14:paraId="25B750F9" w14:textId="77777777"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14:paraId="4B681CF2" w14:textId="77777777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C05E1" w14:textId="77777777"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A3B77" w14:textId="77777777"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14:paraId="2C473A9A" w14:textId="77777777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B4C26" w14:textId="77777777"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53EA6" w14:textId="77777777"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14:paraId="16112F10" w14:textId="77777777"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14:paraId="7981EC96" w14:textId="77777777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14:paraId="439FEBDB" w14:textId="77777777"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14:paraId="6927F617" w14:textId="77777777"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14:paraId="3D18BFC6" w14:textId="77777777"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14:paraId="4B7BEC3D" w14:textId="77777777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14:paraId="085E38A5" w14:textId="77777777"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14:paraId="21AFD90D" w14:textId="77777777"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14:paraId="722689A8" w14:textId="77777777"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14:paraId="6C22C3E3" w14:textId="77777777" w:rsidR="00931674" w:rsidRPr="0019177A" w:rsidRDefault="008D5F0F" w:rsidP="00931674">
      <w:pPr>
        <w:rPr>
          <w:rFonts w:cs="Arial"/>
          <w:sz w:val="20"/>
          <w:szCs w:val="20"/>
          <w:lang w:eastAsia="fi-FI"/>
        </w:rPr>
      </w:pPr>
      <w:r w:rsidRPr="0019177A">
        <w:rPr>
          <w:rFonts w:cs="Arial"/>
          <w:sz w:val="20"/>
          <w:szCs w:val="20"/>
        </w:rPr>
        <w:t>Opp</w:t>
      </w:r>
      <w:r w:rsidR="00EC1331" w:rsidRPr="0019177A">
        <w:rPr>
          <w:rFonts w:cs="Arial"/>
          <w:sz w:val="20"/>
          <w:szCs w:val="20"/>
        </w:rPr>
        <w:t xml:space="preserve">ilas palauttaa lomakkeen koululle viimeistään </w:t>
      </w:r>
      <w:r w:rsidR="00BC49AB" w:rsidRPr="0019177A">
        <w:rPr>
          <w:rFonts w:cs="Arial"/>
          <w:sz w:val="20"/>
          <w:szCs w:val="20"/>
        </w:rPr>
        <w:t>7</w:t>
      </w:r>
      <w:r w:rsidR="00EC1331" w:rsidRPr="0019177A">
        <w:rPr>
          <w:rFonts w:cs="Arial"/>
          <w:sz w:val="20"/>
          <w:szCs w:val="20"/>
        </w:rPr>
        <w:t xml:space="preserve">. </w:t>
      </w:r>
      <w:r w:rsidR="00EC1331" w:rsidRPr="0019177A">
        <w:rPr>
          <w:rFonts w:cs="Arial"/>
          <w:sz w:val="20"/>
          <w:szCs w:val="20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19177A">
        <w:rPr>
          <w:rFonts w:cs="Arial"/>
          <w:sz w:val="20"/>
          <w:szCs w:val="20"/>
        </w:rPr>
        <w:instrText xml:space="preserve"> FORMTEXT </w:instrText>
      </w:r>
      <w:r w:rsidR="00EC1331" w:rsidRPr="0019177A">
        <w:rPr>
          <w:rFonts w:cs="Arial"/>
          <w:sz w:val="20"/>
          <w:szCs w:val="20"/>
        </w:rPr>
      </w:r>
      <w:r w:rsidR="00EC1331" w:rsidRPr="0019177A">
        <w:rPr>
          <w:rFonts w:cs="Arial"/>
          <w:sz w:val="20"/>
          <w:szCs w:val="20"/>
        </w:rPr>
        <w:fldChar w:fldCharType="separate"/>
      </w:r>
      <w:r w:rsidR="00A77A68" w:rsidRPr="0019177A">
        <w:rPr>
          <w:rFonts w:cs="Arial"/>
          <w:noProof/>
          <w:sz w:val="20"/>
          <w:szCs w:val="20"/>
        </w:rPr>
        <w:t>11</w:t>
      </w:r>
      <w:r w:rsidR="00EC1331" w:rsidRPr="0019177A">
        <w:rPr>
          <w:rFonts w:cs="Arial"/>
          <w:sz w:val="20"/>
          <w:szCs w:val="20"/>
        </w:rPr>
        <w:fldChar w:fldCharType="end"/>
      </w:r>
      <w:r w:rsidR="00ED49B4" w:rsidRPr="0019177A">
        <w:rPr>
          <w:rFonts w:cs="Arial"/>
          <w:sz w:val="20"/>
          <w:szCs w:val="20"/>
        </w:rPr>
        <w:t>.</w:t>
      </w:r>
      <w:r w:rsidR="00C01A03" w:rsidRPr="0019177A">
        <w:rPr>
          <w:rFonts w:cs="Arial"/>
          <w:sz w:val="20"/>
          <w:szCs w:val="20"/>
        </w:rPr>
        <w:t xml:space="preserve"> 20</w:t>
      </w:r>
      <w:r w:rsidR="00BC49AB" w:rsidRPr="0019177A">
        <w:rPr>
          <w:rFonts w:cs="Arial"/>
          <w:sz w:val="20"/>
          <w:szCs w:val="20"/>
        </w:rPr>
        <w:t>22</w:t>
      </w:r>
      <w:r w:rsidR="00C01A03" w:rsidRPr="0019177A">
        <w:rPr>
          <w:rFonts w:cs="Arial"/>
          <w:sz w:val="20"/>
          <w:szCs w:val="20"/>
        </w:rPr>
        <w:t>. Muut osapuolet kopioivat tarvitsemansa tiedot.</w:t>
      </w:r>
      <w:r w:rsidR="00931674" w:rsidRPr="0019177A">
        <w:rPr>
          <w:rFonts w:cs="Arial"/>
          <w:sz w:val="20"/>
          <w:szCs w:val="20"/>
          <w:lang w:eastAsia="fi-FI"/>
        </w:rPr>
        <w:t xml:space="preserve"> </w:t>
      </w:r>
    </w:p>
    <w:p w14:paraId="0CC1D29B" w14:textId="77777777" w:rsidR="00931674" w:rsidRPr="00AA39B6" w:rsidRDefault="00AA39B6" w:rsidP="00AA39B6">
      <w:pPr>
        <w:pStyle w:val="Rubrik1"/>
      </w:pPr>
      <w:r>
        <w:lastRenderedPageBreak/>
        <w:t>TET-ohje</w:t>
      </w:r>
    </w:p>
    <w:p w14:paraId="02B93098" w14:textId="77777777"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14:paraId="1589F81C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="00BC49AB">
        <w:rPr>
          <w:rFonts w:eastAsia="Times New Roman" w:cs="Arial"/>
          <w:sz w:val="18"/>
          <w:szCs w:val="18"/>
          <w:u w:val="single"/>
          <w:lang w:eastAsia="fi-FI"/>
        </w:rPr>
        <w:t>21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C49AB">
        <w:rPr>
          <w:rFonts w:eastAsia="Times New Roman" w:cs="Arial"/>
          <w:sz w:val="18"/>
          <w:szCs w:val="18"/>
          <w:u w:val="single"/>
          <w:lang w:eastAsia="fi-FI"/>
        </w:rPr>
        <w:t>22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="00BC49AB">
        <w:rPr>
          <w:rFonts w:eastAsia="Times New Roman" w:cs="Arial"/>
          <w:sz w:val="18"/>
          <w:szCs w:val="18"/>
          <w:u w:val="single"/>
          <w:lang w:eastAsia="fi-FI"/>
        </w:rPr>
        <w:t>25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C49AB">
        <w:rPr>
          <w:rFonts w:eastAsia="Times New Roman" w:cs="Arial"/>
          <w:sz w:val="18"/>
          <w:szCs w:val="18"/>
          <w:u w:val="single"/>
          <w:lang w:eastAsia="fi-FI"/>
        </w:rPr>
        <w:t>22</w:t>
      </w:r>
    </w:p>
    <w:p w14:paraId="69000930" w14:textId="77777777"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14:paraId="416D5E10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14:paraId="1BBE6DAC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14:paraId="73821B80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14:paraId="6165EA4B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14:paraId="1DDA358F" w14:textId="77777777"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14:paraId="57458185" w14:textId="77777777" w:rsidR="00931674" w:rsidRPr="00931674" w:rsidRDefault="00931674" w:rsidP="00AA39B6">
      <w:pPr>
        <w:pStyle w:val="Rubrik2"/>
        <w:rPr>
          <w:lang w:eastAsia="fi-FI"/>
        </w:rPr>
      </w:pPr>
    </w:p>
    <w:p w14:paraId="2086AB9A" w14:textId="77777777"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Toimintaohjeet TET-jaksolle</w:t>
      </w:r>
    </w:p>
    <w:p w14:paraId="6971F614" w14:textId="77777777"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14:paraId="53FA53E0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14:paraId="4570A6D2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14:paraId="0DBC9617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14:paraId="16D6B4FE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14:paraId="45EA366F" w14:textId="77777777"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14:paraId="45372913" w14:textId="77777777"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antaa työturvallisuusohjeet ja </w:t>
      </w:r>
    </w:p>
    <w:p w14:paraId="702F9531" w14:textId="77777777"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9D3C02">
        <w:rPr>
          <w:rFonts w:eastAsia="Times New Roman" w:cs="Arial"/>
          <w:sz w:val="18"/>
          <w:szCs w:val="18"/>
          <w:lang w:eastAsia="fi-FI"/>
        </w:rPr>
        <w:t xml:space="preserve"> kuvan alasta ja siitä, että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14:paraId="6C7B6A17" w14:textId="77777777"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</w:t>
      </w:r>
      <w:r w:rsidR="009D3C02">
        <w:rPr>
          <w:rFonts w:eastAsia="Times New Roman" w:cs="Arial"/>
          <w:sz w:val="18"/>
          <w:szCs w:val="18"/>
          <w:lang w:eastAsia="fi-FI"/>
        </w:rPr>
        <w:t>ppilasta kokoamaan TET-raportin</w:t>
      </w:r>
      <w:r w:rsidRPr="00AA39B6">
        <w:rPr>
          <w:rFonts w:eastAsia="Times New Roman" w:cs="Arial"/>
          <w:sz w:val="18"/>
          <w:szCs w:val="18"/>
          <w:lang w:eastAsia="fi-FI"/>
        </w:rPr>
        <w:t>.</w:t>
      </w:r>
    </w:p>
    <w:p w14:paraId="55A1E6C5" w14:textId="77777777"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14:paraId="3F1EFB7E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14:paraId="22A2E824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14:paraId="5EB07EF9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14:paraId="340404C1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14:paraId="193721FA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14:paraId="731F40B2" w14:textId="77777777"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9" w:name="content"/>
      <w:bookmarkEnd w:id="9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14:paraId="1101D471" w14:textId="77777777"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14:paraId="0E3FBC8F" w14:textId="77777777" w:rsidR="00931674" w:rsidRPr="00931674" w:rsidRDefault="00931674" w:rsidP="00AA39B6">
      <w:pPr>
        <w:pStyle w:val="Rubrik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14:paraId="3E3174B2" w14:textId="77777777"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14:paraId="0A5693BA" w14:textId="77777777"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14:paraId="366E0FDA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14:paraId="3762EA66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14:paraId="68C71A7A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14:paraId="394FA8D7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14:paraId="400D16DF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14:paraId="51334FE3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14:paraId="388CA05D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14:paraId="05F0F504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14:paraId="07F45D25" w14:textId="77777777"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14:paraId="44A5FAE1" w14:textId="77777777"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14:paraId="2E966A8C" w14:textId="77777777"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2915" w14:textId="77777777" w:rsidR="00F572A7" w:rsidRDefault="00F572A7" w:rsidP="00D45142">
      <w:r>
        <w:separator/>
      </w:r>
    </w:p>
  </w:endnote>
  <w:endnote w:type="continuationSeparator" w:id="0">
    <w:p w14:paraId="4095007E" w14:textId="77777777" w:rsidR="00F572A7" w:rsidRDefault="00F572A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D68B" w14:textId="77777777"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>www.</w:t>
    </w:r>
    <w:r w:rsidR="009D3C02">
      <w:rPr>
        <w:sz w:val="24"/>
        <w:szCs w:val="24"/>
      </w:rPr>
      <w:t>tet-tori.fi</w:t>
    </w:r>
    <w:r w:rsidR="004E3D2E" w:rsidRPr="00B4178C">
      <w:rPr>
        <w:sz w:val="24"/>
        <w:szCs w:val="24"/>
      </w:rPr>
      <w:t xml:space="preserve">  </w:t>
    </w:r>
  </w:p>
  <w:p w14:paraId="02DD7F72" w14:textId="77777777" w:rsidR="002928B7" w:rsidRPr="00C01A03" w:rsidRDefault="002928B7">
    <w:pPr>
      <w:pStyle w:val="FooterLeft"/>
      <w:rPr>
        <w:sz w:val="24"/>
        <w:szCs w:val="24"/>
      </w:rPr>
    </w:pPr>
  </w:p>
  <w:p w14:paraId="066EEFF1" w14:textId="77777777"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14:paraId="68F79484" w14:textId="77777777" w:rsidR="00820F7B" w:rsidRDefault="00820F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83FA" w14:textId="77777777" w:rsidR="00F572A7" w:rsidRDefault="00F572A7" w:rsidP="00D45142">
      <w:r>
        <w:separator/>
      </w:r>
    </w:p>
  </w:footnote>
  <w:footnote w:type="continuationSeparator" w:id="0">
    <w:p w14:paraId="7118FE49" w14:textId="77777777" w:rsidR="00F572A7" w:rsidRDefault="00F572A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7E9" w14:textId="77777777" w:rsidR="00B6437B" w:rsidRPr="005D1655" w:rsidRDefault="00EB60ED">
    <w:pPr>
      <w:pStyle w:val="Sidhuvud"/>
      <w:framePr w:wrap="around" w:vAnchor="text" w:hAnchor="margin" w:xAlign="right" w:y="1"/>
      <w:rPr>
        <w:rStyle w:val="Sidnummer"/>
      </w:rPr>
    </w:pPr>
    <w:r w:rsidRPr="005D1655">
      <w:rPr>
        <w:rStyle w:val="Sidnummer"/>
      </w:rPr>
      <w:fldChar w:fldCharType="begin"/>
    </w:r>
    <w:r w:rsidR="00B6437B" w:rsidRPr="005D1655">
      <w:rPr>
        <w:rStyle w:val="Sidnummer"/>
      </w:rPr>
      <w:instrText xml:space="preserve">PAGE  </w:instrText>
    </w:r>
    <w:r w:rsidRPr="005D1655">
      <w:rPr>
        <w:rStyle w:val="Sidnummer"/>
      </w:rPr>
      <w:fldChar w:fldCharType="separate"/>
    </w:r>
    <w:r w:rsidR="00B6437B" w:rsidRPr="005D1655">
      <w:rPr>
        <w:rStyle w:val="Sidnummer"/>
        <w:noProof/>
      </w:rPr>
      <w:t>1</w:t>
    </w:r>
    <w:r w:rsidRPr="005D1655">
      <w:rPr>
        <w:rStyle w:val="Sidnummer"/>
      </w:rPr>
      <w:fldChar w:fldCharType="end"/>
    </w:r>
  </w:p>
  <w:p w14:paraId="729DF058" w14:textId="77777777" w:rsidR="00B6437B" w:rsidRDefault="00B6437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2351" w14:textId="77777777" w:rsidR="002928B7" w:rsidRDefault="00A77A68" w:rsidP="007B0DF4">
    <w:pPr>
      <w:pStyle w:val="Rubrik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862569">
    <w:abstractNumId w:val="15"/>
  </w:num>
  <w:num w:numId="2" w16cid:durableId="1755542683">
    <w:abstractNumId w:val="13"/>
  </w:num>
  <w:num w:numId="3" w16cid:durableId="1910654285">
    <w:abstractNumId w:val="10"/>
  </w:num>
  <w:num w:numId="4" w16cid:durableId="1565679780">
    <w:abstractNumId w:val="9"/>
  </w:num>
  <w:num w:numId="5" w16cid:durableId="925461629">
    <w:abstractNumId w:val="8"/>
  </w:num>
  <w:num w:numId="6" w16cid:durableId="1589659039">
    <w:abstractNumId w:val="7"/>
  </w:num>
  <w:num w:numId="7" w16cid:durableId="430512973">
    <w:abstractNumId w:val="6"/>
  </w:num>
  <w:num w:numId="8" w16cid:durableId="1708145682">
    <w:abstractNumId w:val="5"/>
  </w:num>
  <w:num w:numId="9" w16cid:durableId="1770008152">
    <w:abstractNumId w:val="4"/>
  </w:num>
  <w:num w:numId="10" w16cid:durableId="1488551578">
    <w:abstractNumId w:val="3"/>
  </w:num>
  <w:num w:numId="11" w16cid:durableId="609438923">
    <w:abstractNumId w:val="2"/>
  </w:num>
  <w:num w:numId="12" w16cid:durableId="2041081669">
    <w:abstractNumId w:val="1"/>
  </w:num>
  <w:num w:numId="13" w16cid:durableId="1724987623">
    <w:abstractNumId w:val="0"/>
  </w:num>
  <w:num w:numId="14" w16cid:durableId="1476950737">
    <w:abstractNumId w:val="12"/>
  </w:num>
  <w:num w:numId="15" w16cid:durableId="262693678">
    <w:abstractNumId w:val="17"/>
  </w:num>
  <w:num w:numId="16" w16cid:durableId="1958412302">
    <w:abstractNumId w:val="16"/>
  </w:num>
  <w:num w:numId="17" w16cid:durableId="1186136945">
    <w:abstractNumId w:val="11"/>
  </w:num>
  <w:num w:numId="18" w16cid:durableId="232811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2E"/>
    <w:rsid w:val="00010C1D"/>
    <w:rsid w:val="00024DD7"/>
    <w:rsid w:val="00061D83"/>
    <w:rsid w:val="000634FB"/>
    <w:rsid w:val="000A01C5"/>
    <w:rsid w:val="000A0D8E"/>
    <w:rsid w:val="000A1438"/>
    <w:rsid w:val="000A73A1"/>
    <w:rsid w:val="000D29AE"/>
    <w:rsid w:val="000D3964"/>
    <w:rsid w:val="001511FE"/>
    <w:rsid w:val="0019177A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97798"/>
    <w:rsid w:val="003B1AEE"/>
    <w:rsid w:val="003C7648"/>
    <w:rsid w:val="003E0CF0"/>
    <w:rsid w:val="00402038"/>
    <w:rsid w:val="004043D1"/>
    <w:rsid w:val="00405FCE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67445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D3C02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365F3"/>
    <w:rsid w:val="00B4178C"/>
    <w:rsid w:val="00B619FD"/>
    <w:rsid w:val="00B6437B"/>
    <w:rsid w:val="00B75690"/>
    <w:rsid w:val="00B84AC0"/>
    <w:rsid w:val="00B91E39"/>
    <w:rsid w:val="00BB2DD8"/>
    <w:rsid w:val="00BC49AB"/>
    <w:rsid w:val="00BD53C5"/>
    <w:rsid w:val="00BF602F"/>
    <w:rsid w:val="00C01A03"/>
    <w:rsid w:val="00C34446"/>
    <w:rsid w:val="00C36AED"/>
    <w:rsid w:val="00CE1385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572A7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4A1EF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Sidhuvud">
    <w:name w:val="header"/>
    <w:basedOn w:val="Normal"/>
    <w:link w:val="Sidhuvud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3FC9-6F96-4CD1-8BFB-B83683C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5687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Turun kaupunki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Linda Snickars</cp:lastModifiedBy>
  <cp:revision>2</cp:revision>
  <cp:lastPrinted>2020-09-08T08:35:00Z</cp:lastPrinted>
  <dcterms:created xsi:type="dcterms:W3CDTF">2022-10-01T07:33:00Z</dcterms:created>
  <dcterms:modified xsi:type="dcterms:W3CDTF">2022-10-01T07:33:00Z</dcterms:modified>
</cp:coreProperties>
</file>