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W w:w="15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gridCol w:w="6294"/>
      </w:tblGrid>
      <w:tr w:rsidR="006E4D17" w:rsidRPr="00EF26F0" w:rsidTr="005242B5">
        <w:tc>
          <w:tcPr>
            <w:tcW w:w="3686" w:type="dxa"/>
          </w:tcPr>
          <w:p w:rsidR="006E4D17" w:rsidRPr="00EF26F0" w:rsidRDefault="006E4D17" w:rsidP="001D0D38">
            <w:pPr>
              <w:spacing w:beforeLines="60" w:before="144" w:afterLines="60" w:after="144"/>
              <w:rPr>
                <w:rFonts w:cstheme="minorHAnsi"/>
                <w:b/>
                <w:sz w:val="24"/>
                <w:szCs w:val="24"/>
              </w:rPr>
            </w:pPr>
            <w:bookmarkStart w:id="0" w:name="_GoBack"/>
            <w:bookmarkEnd w:id="0"/>
            <w:r w:rsidRPr="00EF26F0">
              <w:rPr>
                <w:rFonts w:cstheme="minorHAnsi"/>
                <w:b/>
                <w:sz w:val="24"/>
                <w:szCs w:val="24"/>
              </w:rPr>
              <w:t>Lääkealan perustutkinto</w:t>
            </w:r>
          </w:p>
        </w:tc>
        <w:tc>
          <w:tcPr>
            <w:tcW w:w="5812" w:type="dxa"/>
          </w:tcPr>
          <w:p w:rsidR="006E4D17" w:rsidRPr="00EF26F0" w:rsidRDefault="006967AE" w:rsidP="001D0D38">
            <w:pPr>
              <w:spacing w:beforeLines="60" w:before="144" w:afterLines="60" w:after="144"/>
              <w:rPr>
                <w:rFonts w:cstheme="minorHAnsi"/>
                <w:b/>
                <w:sz w:val="24"/>
                <w:szCs w:val="24"/>
              </w:rPr>
            </w:pPr>
            <w:r>
              <w:rPr>
                <w:rFonts w:cstheme="minorHAnsi"/>
                <w:b/>
                <w:sz w:val="24"/>
                <w:szCs w:val="24"/>
              </w:rPr>
              <w:t>Apteekin verkkopalvelun tehtävissä työskentely</w:t>
            </w:r>
          </w:p>
        </w:tc>
        <w:tc>
          <w:tcPr>
            <w:tcW w:w="6294" w:type="dxa"/>
          </w:tcPr>
          <w:p w:rsidR="006E4D17" w:rsidRPr="00EF26F0" w:rsidRDefault="006E4D17" w:rsidP="001D0D38">
            <w:pPr>
              <w:spacing w:beforeLines="60" w:before="144" w:afterLines="60" w:after="144"/>
              <w:rPr>
                <w:rFonts w:cstheme="minorHAnsi"/>
                <w:b/>
                <w:sz w:val="24"/>
                <w:szCs w:val="24"/>
              </w:rPr>
            </w:pPr>
            <w:r w:rsidRPr="00EF26F0">
              <w:rPr>
                <w:rFonts w:cstheme="minorHAnsi"/>
                <w:b/>
                <w:sz w:val="24"/>
                <w:szCs w:val="24"/>
              </w:rPr>
              <w:t>Opiskelija:</w:t>
            </w:r>
          </w:p>
        </w:tc>
      </w:tr>
    </w:tbl>
    <w:p w:rsidR="004516DD" w:rsidRPr="008770B2" w:rsidRDefault="004516DD" w:rsidP="00B142FA">
      <w:pPr>
        <w:spacing w:beforeLines="60" w:before="144" w:afterLines="60" w:after="144" w:line="240" w:lineRule="auto"/>
        <w:rPr>
          <w:rFonts w:cstheme="minorHAnsi"/>
          <w:sz w:val="20"/>
          <w:szCs w:val="20"/>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6E4D17" w:rsidRPr="008770B2" w:rsidTr="00CB4D37">
        <w:tc>
          <w:tcPr>
            <w:tcW w:w="1555" w:type="dxa"/>
            <w:tcBorders>
              <w:right w:val="single" w:sz="4" w:space="0" w:color="000000" w:themeColor="text1"/>
            </w:tcBorders>
            <w:shd w:val="clear" w:color="auto" w:fill="EEFAFC"/>
          </w:tcPr>
          <w:p w:rsidR="006E4D17" w:rsidRPr="008770B2" w:rsidRDefault="006E4D17" w:rsidP="00150C8F">
            <w:pPr>
              <w:spacing w:beforeLines="30" w:before="72" w:afterLines="30" w:after="72"/>
              <w:rPr>
                <w:rFonts w:cstheme="minorHAnsi"/>
                <w:sz w:val="20"/>
                <w:szCs w:val="20"/>
              </w:rPr>
            </w:pPr>
            <w:r w:rsidRPr="008770B2">
              <w:rPr>
                <w:rFonts w:cstheme="minorHAnsi"/>
                <w:sz w:val="20"/>
                <w:szCs w:val="20"/>
              </w:rPr>
              <w:t>Ammattitaito-</w:t>
            </w:r>
          </w:p>
          <w:p w:rsidR="006E4D17" w:rsidRPr="008770B2" w:rsidRDefault="006E4D17" w:rsidP="00150C8F">
            <w:pPr>
              <w:spacing w:beforeLines="30" w:before="72" w:afterLines="30" w:after="72"/>
              <w:rPr>
                <w:rFonts w:cstheme="minorHAnsi"/>
                <w:sz w:val="20"/>
                <w:szCs w:val="20"/>
              </w:rPr>
            </w:pPr>
            <w:r w:rsidRPr="008770B2">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6E4D17" w:rsidRPr="008770B2" w:rsidRDefault="006E4D17" w:rsidP="00150C8F">
            <w:pPr>
              <w:spacing w:beforeLines="30" w:before="72" w:afterLines="30" w:after="72"/>
              <w:jc w:val="center"/>
              <w:rPr>
                <w:rFonts w:cstheme="minorHAnsi"/>
                <w:sz w:val="20"/>
                <w:szCs w:val="20"/>
              </w:rPr>
            </w:pPr>
            <w:r w:rsidRPr="008770B2">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770B2" w:rsidRDefault="006E4D17" w:rsidP="00150C8F">
            <w:pPr>
              <w:spacing w:beforeLines="30" w:before="72" w:afterLines="30" w:after="72"/>
              <w:jc w:val="center"/>
              <w:rPr>
                <w:rFonts w:cstheme="minorHAnsi"/>
                <w:sz w:val="20"/>
                <w:szCs w:val="20"/>
              </w:rPr>
            </w:pPr>
            <w:r w:rsidRPr="008770B2">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770B2" w:rsidRDefault="006E4D17" w:rsidP="00150C8F">
            <w:pPr>
              <w:spacing w:beforeLines="30" w:before="72" w:afterLines="30" w:after="72"/>
              <w:jc w:val="center"/>
              <w:rPr>
                <w:rFonts w:cstheme="minorHAnsi"/>
                <w:sz w:val="20"/>
                <w:szCs w:val="20"/>
              </w:rPr>
            </w:pPr>
            <w:r w:rsidRPr="008770B2">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6E4D17" w:rsidRPr="008770B2" w:rsidRDefault="006E4D17" w:rsidP="00150C8F">
            <w:pPr>
              <w:spacing w:beforeLines="30" w:before="72" w:afterLines="30" w:after="72"/>
              <w:jc w:val="center"/>
              <w:rPr>
                <w:rFonts w:cstheme="minorHAnsi"/>
                <w:sz w:val="20"/>
                <w:szCs w:val="20"/>
              </w:rPr>
            </w:pPr>
            <w:r w:rsidRPr="008770B2">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6E4D17" w:rsidRPr="008770B2" w:rsidRDefault="006E4D17" w:rsidP="00150C8F">
            <w:pPr>
              <w:spacing w:beforeLines="30" w:before="72" w:afterLines="30" w:after="72"/>
              <w:jc w:val="center"/>
              <w:rPr>
                <w:rFonts w:cstheme="minorHAnsi"/>
                <w:sz w:val="20"/>
                <w:szCs w:val="20"/>
              </w:rPr>
            </w:pPr>
            <w:r w:rsidRPr="008770B2">
              <w:rPr>
                <w:rFonts w:cstheme="minorHAnsi"/>
                <w:sz w:val="20"/>
                <w:szCs w:val="20"/>
              </w:rPr>
              <w:t>K5</w:t>
            </w:r>
          </w:p>
        </w:tc>
        <w:tc>
          <w:tcPr>
            <w:tcW w:w="4767" w:type="dxa"/>
            <w:tcBorders>
              <w:left w:val="single" w:sz="4" w:space="0" w:color="000000" w:themeColor="text1"/>
            </w:tcBorders>
            <w:shd w:val="clear" w:color="auto" w:fill="EEFAFC"/>
          </w:tcPr>
          <w:p w:rsidR="006E4D17" w:rsidRPr="008770B2" w:rsidRDefault="006E4D17" w:rsidP="00150C8F">
            <w:pPr>
              <w:spacing w:beforeLines="30" w:before="72" w:afterLines="30" w:after="72"/>
              <w:rPr>
                <w:rFonts w:cstheme="minorHAnsi"/>
                <w:sz w:val="20"/>
                <w:szCs w:val="20"/>
              </w:rPr>
            </w:pPr>
            <w:r w:rsidRPr="008770B2">
              <w:rPr>
                <w:rFonts w:cstheme="minorHAnsi"/>
                <w:sz w:val="20"/>
                <w:szCs w:val="20"/>
              </w:rPr>
              <w:t>Näyttösuunnitelma</w:t>
            </w:r>
          </w:p>
          <w:p w:rsidR="006E4D17" w:rsidRPr="008770B2" w:rsidRDefault="006E4D17" w:rsidP="00150C8F">
            <w:pPr>
              <w:spacing w:beforeLines="30" w:before="72" w:afterLines="30" w:after="72"/>
              <w:rPr>
                <w:rFonts w:cstheme="minorHAnsi"/>
                <w:sz w:val="20"/>
                <w:szCs w:val="20"/>
              </w:rPr>
            </w:pPr>
            <w:r w:rsidRPr="008770B2">
              <w:rPr>
                <w:rFonts w:cstheme="minorHAnsi"/>
                <w:sz w:val="20"/>
                <w:szCs w:val="20"/>
              </w:rPr>
              <w:t>Arviointi: perustelut ja kommentit</w:t>
            </w:r>
          </w:p>
        </w:tc>
      </w:tr>
      <w:tr w:rsidR="006E4D17" w:rsidRPr="008770B2" w:rsidTr="001D0D38">
        <w:trPr>
          <w:trHeight w:val="340"/>
        </w:trPr>
        <w:tc>
          <w:tcPr>
            <w:tcW w:w="1555" w:type="dxa"/>
            <w:vMerge w:val="restart"/>
            <w:tcBorders>
              <w:right w:val="single" w:sz="4" w:space="0" w:color="000000" w:themeColor="text1"/>
            </w:tcBorders>
          </w:tcPr>
          <w:p w:rsidR="006E4D17" w:rsidRPr="008770B2" w:rsidRDefault="00F17F62" w:rsidP="001D0D38">
            <w:pPr>
              <w:spacing w:beforeLines="60" w:before="144" w:afterLines="60" w:after="144"/>
              <w:rPr>
                <w:rFonts w:cstheme="minorHAnsi"/>
                <w:sz w:val="20"/>
                <w:szCs w:val="20"/>
              </w:rPr>
            </w:pPr>
            <w:r w:rsidRPr="008770B2">
              <w:rPr>
                <w:rFonts w:cstheme="minorHAnsi"/>
                <w:b/>
                <w:bCs/>
                <w:sz w:val="20"/>
                <w:szCs w:val="20"/>
              </w:rPr>
              <w:t>Opiskelija ylläpitää verkkopalvelun sivustoa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ylläpitää verkkopalvelun sivustoa työryhmän jäsenenä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ylläpitää verkkopalvelun sivustoa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ylläpitää itsenäisesti ja sujuvasti verkkopalvelun sivustoa</w:t>
            </w:r>
          </w:p>
        </w:tc>
        <w:tc>
          <w:tcPr>
            <w:tcW w:w="4767" w:type="dxa"/>
            <w:tcBorders>
              <w:left w:val="single" w:sz="4" w:space="0" w:color="000000" w:themeColor="text1"/>
              <w:bottom w:val="single" w:sz="4" w:space="0" w:color="BFBFBF" w:themeColor="background1" w:themeShade="BF"/>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rPr>
          <w:trHeight w:val="340"/>
        </w:trPr>
        <w:tc>
          <w:tcPr>
            <w:tcW w:w="1555" w:type="dxa"/>
            <w:vMerge/>
            <w:tcBorders>
              <w:right w:val="single" w:sz="4" w:space="0" w:color="000000" w:themeColor="text1"/>
            </w:tcBorders>
          </w:tcPr>
          <w:p w:rsidR="006E4D17" w:rsidRPr="008770B2"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syöttää ja päivittää tietoja verkkopalveluohjelmalla annettujen ohjeiden mukaan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syöttää ja päivittää tietoja verkkopalveluohjelmalla sujuvasti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syöttää ja päivittää tuotetietoja itsenäisesti verkkopalveluohjelmalla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rPr>
          <w:trHeight w:val="340"/>
        </w:trPr>
        <w:tc>
          <w:tcPr>
            <w:tcW w:w="1555" w:type="dxa"/>
            <w:vMerge/>
            <w:tcBorders>
              <w:right w:val="single" w:sz="4" w:space="0" w:color="000000" w:themeColor="text1"/>
            </w:tcBorders>
          </w:tcPr>
          <w:p w:rsidR="006E4D17" w:rsidRPr="008770B2"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ilmoittaa havaitsemistaan virheistä ja ongelmista sivustolla</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korjaa oikeuksiensa mukaan havaitsemiaan virheitä ja ongelmia sivustolla ja tiedottaa muista virhe- ja ongelmatilanteista eteenpäin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korjaa oikeuksiensa mukaan sujuvasti havaitsemiaan virheitä ja ongelmia sivustolla ja tiedottaa muista virhe- ja ongelmatilanteista eteenpäin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rPr>
          <w:trHeight w:val="340"/>
        </w:trPr>
        <w:tc>
          <w:tcPr>
            <w:tcW w:w="1555" w:type="dxa"/>
            <w:vMerge/>
            <w:tcBorders>
              <w:right w:val="single" w:sz="4" w:space="0" w:color="000000" w:themeColor="text1"/>
            </w:tcBorders>
          </w:tcPr>
          <w:p w:rsidR="006E4D17" w:rsidRPr="008770B2"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huolehtii tietoturvasta ohjeiden mukaan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huolehtii tietoturvasta itsenäisesti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huolehtii tietoturvasta itsenäisesti ja havainnoi aktiivisesti tietoturvaan liittyviä riskejä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rPr>
          <w:trHeight w:val="340"/>
        </w:trPr>
        <w:tc>
          <w:tcPr>
            <w:tcW w:w="1555" w:type="dxa"/>
            <w:vMerge/>
            <w:tcBorders>
              <w:right w:val="single" w:sz="4" w:space="0" w:color="000000" w:themeColor="text1"/>
            </w:tcBorders>
          </w:tcPr>
          <w:p w:rsidR="006E4D17" w:rsidRPr="008770B2"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4516DD">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4516DD">
            <w:pPr>
              <w:pStyle w:val="Luettelokappale"/>
              <w:autoSpaceDE w:val="0"/>
              <w:autoSpaceDN w:val="0"/>
              <w:adjustRightInd w:val="0"/>
              <w:spacing w:beforeLines="20" w:before="48" w:afterLines="20" w:after="48"/>
              <w:ind w:left="284"/>
              <w:rPr>
                <w:rFonts w:cstheme="minorHAnsi"/>
                <w:sz w:val="20"/>
                <w:szCs w:val="20"/>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osallistuu verkkokaupan markkinointiviestintään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rPr>
          <w:trHeight w:val="340"/>
        </w:trPr>
        <w:tc>
          <w:tcPr>
            <w:tcW w:w="1555" w:type="dxa"/>
            <w:vMerge/>
          </w:tcPr>
          <w:p w:rsidR="006E4D17" w:rsidRPr="008770B2" w:rsidRDefault="006E4D17" w:rsidP="001D0D38">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arvioi omaa toimintaansa</w:t>
            </w:r>
          </w:p>
        </w:tc>
        <w:tc>
          <w:tcPr>
            <w:tcW w:w="481" w:type="dxa"/>
            <w:tcBorders>
              <w:top w:val="single" w:sz="4" w:space="0" w:color="BFBFBF" w:themeColor="background1" w:themeShade="BF"/>
              <w:bottom w:val="single" w:sz="4" w:space="0" w:color="BFBFBF" w:themeColor="background1" w:themeShade="BF"/>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arvioi ja suunnittelee omaa toimintaansa</w:t>
            </w:r>
          </w:p>
        </w:tc>
        <w:tc>
          <w:tcPr>
            <w:tcW w:w="484" w:type="dxa"/>
            <w:tcBorders>
              <w:top w:val="single" w:sz="4" w:space="0" w:color="BFBFBF" w:themeColor="background1" w:themeShade="BF"/>
              <w:bottom w:val="single" w:sz="4" w:space="0" w:color="BFBFBF" w:themeColor="background1" w:themeShade="BF"/>
            </w:tcBorders>
          </w:tcPr>
          <w:p w:rsidR="006E4D17" w:rsidRPr="008770B2" w:rsidRDefault="006E4D17" w:rsidP="00150C8F">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6E4D17" w:rsidRPr="008770B2" w:rsidRDefault="004516DD" w:rsidP="004516DD">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arvioi, suunnittelee ja kehittää omaa toimintaansa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6E4D17" w:rsidRPr="008770B2" w:rsidRDefault="006E4D17" w:rsidP="00150C8F">
            <w:pPr>
              <w:spacing w:beforeLines="60" w:before="144" w:afterLines="60" w:after="144"/>
              <w:rPr>
                <w:rFonts w:cstheme="minorHAnsi"/>
                <w:sz w:val="20"/>
                <w:szCs w:val="20"/>
              </w:rPr>
            </w:pPr>
          </w:p>
        </w:tc>
      </w:tr>
      <w:tr w:rsidR="006E4D17" w:rsidRPr="008770B2" w:rsidTr="001D0D38">
        <w:tc>
          <w:tcPr>
            <w:tcW w:w="1555" w:type="dxa"/>
            <w:vMerge/>
          </w:tcPr>
          <w:p w:rsidR="006E4D17" w:rsidRPr="008770B2" w:rsidRDefault="006E4D17" w:rsidP="001D0D38">
            <w:pPr>
              <w:spacing w:beforeLines="60" w:before="144" w:afterLines="60" w:after="144"/>
              <w:rPr>
                <w:rFonts w:cstheme="minorHAnsi"/>
                <w:sz w:val="20"/>
                <w:szCs w:val="20"/>
              </w:rPr>
            </w:pPr>
          </w:p>
        </w:tc>
        <w:tc>
          <w:tcPr>
            <w:tcW w:w="2835" w:type="dxa"/>
          </w:tcPr>
          <w:p w:rsidR="006E4D17" w:rsidRPr="008770B2" w:rsidRDefault="006E4D17" w:rsidP="001D0D38">
            <w:pPr>
              <w:spacing w:beforeLines="10" w:before="24" w:afterLines="10" w:after="24"/>
              <w:rPr>
                <w:rFonts w:cstheme="minorHAnsi"/>
                <w:sz w:val="20"/>
                <w:szCs w:val="20"/>
              </w:rPr>
            </w:pPr>
          </w:p>
        </w:tc>
        <w:tc>
          <w:tcPr>
            <w:tcW w:w="481" w:type="dxa"/>
          </w:tcPr>
          <w:p w:rsidR="006E4D17" w:rsidRPr="008770B2" w:rsidRDefault="006E4D17" w:rsidP="001D0D38">
            <w:pPr>
              <w:spacing w:beforeLines="10" w:before="24" w:afterLines="10" w:after="24"/>
              <w:rPr>
                <w:rFonts w:cstheme="minorHAnsi"/>
                <w:sz w:val="20"/>
                <w:szCs w:val="20"/>
              </w:rPr>
            </w:pPr>
          </w:p>
        </w:tc>
        <w:tc>
          <w:tcPr>
            <w:tcW w:w="2835" w:type="dxa"/>
          </w:tcPr>
          <w:p w:rsidR="006E4D17" w:rsidRPr="008770B2" w:rsidRDefault="006E4D17" w:rsidP="001D0D38">
            <w:pPr>
              <w:spacing w:beforeLines="10" w:before="24" w:afterLines="10" w:after="24"/>
              <w:rPr>
                <w:rFonts w:cstheme="minorHAnsi"/>
                <w:sz w:val="20"/>
                <w:szCs w:val="20"/>
              </w:rPr>
            </w:pPr>
          </w:p>
        </w:tc>
        <w:tc>
          <w:tcPr>
            <w:tcW w:w="484" w:type="dxa"/>
          </w:tcPr>
          <w:p w:rsidR="006E4D17" w:rsidRPr="008770B2" w:rsidRDefault="006E4D17" w:rsidP="001D0D38">
            <w:pPr>
              <w:spacing w:beforeLines="10" w:before="24" w:afterLines="10" w:after="24"/>
              <w:rPr>
                <w:rFonts w:cstheme="minorHAnsi"/>
                <w:sz w:val="20"/>
                <w:szCs w:val="20"/>
              </w:rPr>
            </w:pPr>
          </w:p>
        </w:tc>
        <w:tc>
          <w:tcPr>
            <w:tcW w:w="2835" w:type="dxa"/>
          </w:tcPr>
          <w:p w:rsidR="006E4D17" w:rsidRPr="008770B2" w:rsidRDefault="006E4D17" w:rsidP="001D0D38">
            <w:pPr>
              <w:spacing w:beforeLines="10" w:before="24" w:afterLines="10" w:after="24"/>
              <w:rPr>
                <w:rFonts w:cstheme="minorHAnsi"/>
                <w:sz w:val="20"/>
                <w:szCs w:val="20"/>
              </w:rPr>
            </w:pPr>
          </w:p>
        </w:tc>
        <w:tc>
          <w:tcPr>
            <w:tcW w:w="4767" w:type="dxa"/>
          </w:tcPr>
          <w:p w:rsidR="006E4D17" w:rsidRPr="008770B2" w:rsidRDefault="006E4D17" w:rsidP="001D0D38">
            <w:pPr>
              <w:spacing w:beforeLines="10" w:before="24" w:afterLines="10" w:after="24"/>
              <w:rPr>
                <w:rFonts w:cstheme="minorHAnsi"/>
                <w:sz w:val="20"/>
                <w:szCs w:val="20"/>
              </w:rPr>
            </w:pPr>
            <w:r w:rsidRPr="008770B2">
              <w:rPr>
                <w:rFonts w:cstheme="minorHAnsi"/>
                <w:sz w:val="20"/>
                <w:szCs w:val="20"/>
              </w:rPr>
              <w:t>Näyttöpäivä</w:t>
            </w:r>
          </w:p>
          <w:p w:rsidR="006E4D17" w:rsidRPr="008770B2" w:rsidRDefault="006E4D17" w:rsidP="001D0D38">
            <w:pPr>
              <w:spacing w:beforeLines="10" w:before="24" w:afterLines="10" w:after="24"/>
              <w:rPr>
                <w:rFonts w:cstheme="minorHAnsi"/>
                <w:sz w:val="20"/>
                <w:szCs w:val="20"/>
              </w:rPr>
            </w:pPr>
            <w:r w:rsidRPr="008770B2">
              <w:rPr>
                <w:rFonts w:cstheme="minorHAnsi"/>
                <w:sz w:val="20"/>
                <w:szCs w:val="20"/>
              </w:rPr>
              <w:t>Arvioijat</w:t>
            </w:r>
          </w:p>
        </w:tc>
      </w:tr>
    </w:tbl>
    <w:p w:rsidR="006E4D17" w:rsidRPr="008770B2" w:rsidRDefault="006E4D17" w:rsidP="00B142FA">
      <w:pPr>
        <w:spacing w:beforeLines="60" w:before="144" w:afterLines="60" w:after="144" w:line="240" w:lineRule="auto"/>
        <w:rPr>
          <w:rFonts w:cstheme="minorHAnsi"/>
          <w:sz w:val="20"/>
          <w:szCs w:val="20"/>
        </w:rPr>
      </w:pPr>
    </w:p>
    <w:p w:rsidR="004516DD" w:rsidRPr="008770B2" w:rsidRDefault="004516DD">
      <w:pPr>
        <w:rPr>
          <w:rFonts w:cstheme="minorHAnsi"/>
          <w:sz w:val="20"/>
          <w:szCs w:val="20"/>
        </w:rPr>
      </w:pPr>
      <w:r w:rsidRPr="008770B2">
        <w:rPr>
          <w:rFonts w:cstheme="minorHAnsi"/>
          <w:sz w:val="20"/>
          <w:szCs w:val="20"/>
        </w:rPr>
        <w:br w:type="page"/>
      </w:r>
    </w:p>
    <w:p w:rsidR="004516DD" w:rsidRPr="008770B2" w:rsidRDefault="004516DD" w:rsidP="00B142FA">
      <w:pPr>
        <w:spacing w:beforeLines="60" w:before="144" w:afterLines="60" w:after="144" w:line="240" w:lineRule="auto"/>
        <w:rPr>
          <w:rFonts w:cstheme="minorHAnsi"/>
          <w:sz w:val="20"/>
          <w:szCs w:val="20"/>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770B2" w:rsidTr="007876E1">
        <w:tc>
          <w:tcPr>
            <w:tcW w:w="1555" w:type="dxa"/>
            <w:tcBorders>
              <w:righ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Ammattitaito-</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K5</w:t>
            </w:r>
          </w:p>
        </w:tc>
        <w:tc>
          <w:tcPr>
            <w:tcW w:w="4767" w:type="dxa"/>
            <w:tcBorders>
              <w:lef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Näyttösuunnitelma</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Arviointi: perustelut ja kommentit</w:t>
            </w:r>
          </w:p>
        </w:tc>
      </w:tr>
      <w:tr w:rsidR="00F40F24" w:rsidRPr="008770B2" w:rsidTr="007876E1">
        <w:trPr>
          <w:trHeight w:val="340"/>
        </w:trPr>
        <w:tc>
          <w:tcPr>
            <w:tcW w:w="1555" w:type="dxa"/>
            <w:vMerge w:val="restart"/>
            <w:tcBorders>
              <w:right w:val="single" w:sz="4" w:space="0" w:color="000000" w:themeColor="text1"/>
            </w:tcBorders>
          </w:tcPr>
          <w:p w:rsidR="00F40F24" w:rsidRPr="008770B2" w:rsidRDefault="00F17F62" w:rsidP="007876E1">
            <w:pPr>
              <w:spacing w:beforeLines="60" w:before="144" w:afterLines="60" w:after="144"/>
              <w:rPr>
                <w:rFonts w:cstheme="minorHAnsi"/>
                <w:sz w:val="20"/>
                <w:szCs w:val="20"/>
              </w:rPr>
            </w:pPr>
            <w:r w:rsidRPr="008770B2">
              <w:rPr>
                <w:rFonts w:cstheme="minorHAnsi"/>
                <w:b/>
                <w:bCs/>
                <w:sz w:val="20"/>
                <w:szCs w:val="20"/>
              </w:rPr>
              <w:t>Opiskeli</w:t>
            </w:r>
            <w:r w:rsidR="009E78E3" w:rsidRPr="008770B2">
              <w:rPr>
                <w:rFonts w:cstheme="minorHAnsi"/>
                <w:b/>
                <w:bCs/>
                <w:sz w:val="20"/>
                <w:szCs w:val="20"/>
              </w:rPr>
              <w:t>ja huolehtii asiakastilauksista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vastaanottaa tilauksia ohjatusti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vastaanottaa tilaukset</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vastaanottaa tilaukset</w:t>
            </w:r>
          </w:p>
        </w:tc>
        <w:tc>
          <w:tcPr>
            <w:tcW w:w="4767" w:type="dxa"/>
            <w:tcBorders>
              <w:left w:val="single" w:sz="4" w:space="0" w:color="000000" w:themeColor="text1"/>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keräilee tilattuja tuotteita ohjatusti </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keräilee tilatut tuotteet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keräilee tilatut tuotteet itsenäisesti ja ratkaisee ongelmatilanteita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vie lääkkeet farmaseuttiseen tarkastukseen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vie lääkkeet farmaseuttiseen tarkastukseen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vie lääkkeet farmaseuttiseen tarkastukseen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pakkaa tuotteita ohjatusti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valitsee sopivat pakkausmateriaalit ja pakkaa tuotteet huolellisesti</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valitsee sopivat pakkausmateriaalit itsenäisesti ja pakkaa tuotteet sujuvasti ja huolellisesti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4516DD" w:rsidRPr="008770B2" w:rsidTr="007876E1">
        <w:trPr>
          <w:trHeight w:val="340"/>
        </w:trPr>
        <w:tc>
          <w:tcPr>
            <w:tcW w:w="1555" w:type="dxa"/>
            <w:vMerge/>
            <w:tcBorders>
              <w:right w:val="single" w:sz="4" w:space="0" w:color="000000" w:themeColor="text1"/>
            </w:tcBorders>
          </w:tcPr>
          <w:p w:rsidR="004516DD" w:rsidRPr="008770B2" w:rsidRDefault="004516DD"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lähettää tuotteet asiakkaalle ohjatusti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4516DD"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lähettää tuotteet asiakkaan valitsemalla toimitustavalla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4516DD"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 xml:space="preserve">lähettää tuotteet asiakkaan valitsemalla toimitustavalla </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4516DD" w:rsidRPr="008770B2" w:rsidRDefault="004516DD"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ohjatusti, että asiakas saa tuotteista tarvittavat tiedot (kuten, että lähetys sisältää tarvittavat tiedotteet tai asiakas saa farmaseuttiselta henkilökunnalta tarvittavan neuvonnan)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että asiakas saa tuotteista tarvittavat tiedot (kuten, että lähetys sisältää tarvittavat tiedotteet tai asiakas saa farmaseuttiselta henkilökunnalta tarvittavan neuvonnan)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että asiakas saa tuotteista tarvittavat tiedot (kuten, että lähetys sisältää tarvittavat tiedotteet tai asiakas saa farmaseuttiselta henkilökunnalta tarvittavan neuvonnan)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40F24" w:rsidRPr="008770B2" w:rsidRDefault="00F40F24" w:rsidP="009E78E3">
            <w:pPr>
              <w:pStyle w:val="Luettelokappale"/>
              <w:autoSpaceDE w:val="0"/>
              <w:autoSpaceDN w:val="0"/>
              <w:adjustRightInd w:val="0"/>
              <w:spacing w:beforeLines="20" w:before="48" w:afterLines="20" w:after="48"/>
              <w:ind w:left="284"/>
              <w:rPr>
                <w:rFonts w:cstheme="minorHAnsi"/>
                <w:sz w:val="20"/>
                <w:szCs w:val="20"/>
              </w:rPr>
            </w:pPr>
          </w:p>
        </w:tc>
        <w:tc>
          <w:tcPr>
            <w:tcW w:w="481" w:type="dxa"/>
            <w:tcBorders>
              <w:top w:val="single" w:sz="4" w:space="0" w:color="BFBFBF" w:themeColor="background1" w:themeShade="BF"/>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palvelee asiakkaita tarvittaessa puhelimitse tai sähköisillä viestintävälineillä</w:t>
            </w:r>
          </w:p>
        </w:tc>
        <w:tc>
          <w:tcPr>
            <w:tcW w:w="484" w:type="dxa"/>
            <w:tcBorders>
              <w:top w:val="single" w:sz="4" w:space="0" w:color="BFBFBF" w:themeColor="background1" w:themeShade="BF"/>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palvelee asiakkaita puhelimitse tai sähköisillä viestintävälineillä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noudattaa sähköistä kaupankäyntiä koskevia säädöksiä ja ohjeita</w:t>
            </w:r>
          </w:p>
        </w:tc>
        <w:tc>
          <w:tcPr>
            <w:tcW w:w="481" w:type="dxa"/>
            <w:tcBorders>
              <w:top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noudattaa sähköistä kaupankäyntiä koskevia säädöksiä ja ohjeita</w:t>
            </w:r>
          </w:p>
        </w:tc>
        <w:tc>
          <w:tcPr>
            <w:tcW w:w="484" w:type="dxa"/>
            <w:tcBorders>
              <w:top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tcBorders>
          </w:tcPr>
          <w:p w:rsidR="00F40F24" w:rsidRPr="008770B2" w:rsidRDefault="004516DD"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noudattaa sähköistä kaupankäyntiä koskevia säädöksiä ja ohjeita ja p</w:t>
            </w:r>
            <w:r w:rsidR="009E78E3" w:rsidRPr="008770B2">
              <w:rPr>
                <w:rFonts w:cstheme="minorHAnsi"/>
                <w:sz w:val="20"/>
                <w:szCs w:val="20"/>
              </w:rPr>
              <w:t>erustelee toimintaansa tiedolla</w:t>
            </w:r>
          </w:p>
        </w:tc>
        <w:tc>
          <w:tcPr>
            <w:tcW w:w="4767" w:type="dxa"/>
            <w:tcBorders>
              <w:top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1"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4"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767" w:type="dxa"/>
          </w:tcPr>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Näyttöpäivä</w:t>
            </w:r>
          </w:p>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Arvioijat</w:t>
            </w:r>
          </w:p>
        </w:tc>
      </w:tr>
    </w:tbl>
    <w:p w:rsidR="00F40F24" w:rsidRPr="008770B2" w:rsidRDefault="00F40F24" w:rsidP="00B142FA">
      <w:pPr>
        <w:spacing w:beforeLines="60" w:before="144" w:afterLines="60" w:after="144" w:line="240" w:lineRule="auto"/>
        <w:rPr>
          <w:rFonts w:cstheme="minorHAnsi"/>
          <w:sz w:val="20"/>
          <w:szCs w:val="20"/>
        </w:rPr>
      </w:pPr>
    </w:p>
    <w:p w:rsidR="009E78E3" w:rsidRPr="008770B2" w:rsidRDefault="009E78E3">
      <w:pPr>
        <w:rPr>
          <w:rFonts w:cstheme="minorHAnsi"/>
          <w:sz w:val="20"/>
          <w:szCs w:val="20"/>
        </w:rPr>
      </w:pPr>
      <w:r w:rsidRPr="008770B2">
        <w:rPr>
          <w:rFonts w:cstheme="minorHAnsi"/>
          <w:sz w:val="20"/>
          <w:szCs w:val="20"/>
        </w:rPr>
        <w:br w:type="page"/>
      </w:r>
    </w:p>
    <w:p w:rsidR="009E78E3" w:rsidRPr="008770B2" w:rsidRDefault="009E78E3" w:rsidP="008770B2">
      <w:pPr>
        <w:spacing w:beforeLines="20" w:before="48" w:afterLines="20" w:after="48" w:line="240" w:lineRule="auto"/>
        <w:rPr>
          <w:rFonts w:cstheme="minorHAnsi"/>
          <w:sz w:val="20"/>
          <w:szCs w:val="20"/>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770B2" w:rsidTr="007876E1">
        <w:tc>
          <w:tcPr>
            <w:tcW w:w="1555" w:type="dxa"/>
            <w:tcBorders>
              <w:righ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Ammattitaito-</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K5</w:t>
            </w:r>
          </w:p>
        </w:tc>
        <w:tc>
          <w:tcPr>
            <w:tcW w:w="4767" w:type="dxa"/>
            <w:tcBorders>
              <w:lef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Näyttösuunnitelma</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Arviointi: perustelut ja kommentit</w:t>
            </w:r>
          </w:p>
        </w:tc>
      </w:tr>
      <w:tr w:rsidR="00F40F24" w:rsidRPr="008770B2" w:rsidTr="007876E1">
        <w:trPr>
          <w:trHeight w:val="340"/>
        </w:trPr>
        <w:tc>
          <w:tcPr>
            <w:tcW w:w="1555" w:type="dxa"/>
            <w:vMerge w:val="restart"/>
            <w:tcBorders>
              <w:right w:val="single" w:sz="4" w:space="0" w:color="000000" w:themeColor="text1"/>
            </w:tcBorders>
          </w:tcPr>
          <w:p w:rsidR="00F40F24" w:rsidRPr="008770B2" w:rsidRDefault="00F17F62" w:rsidP="007876E1">
            <w:pPr>
              <w:spacing w:beforeLines="60" w:before="144" w:afterLines="60" w:after="144"/>
              <w:rPr>
                <w:rFonts w:cstheme="minorHAnsi"/>
                <w:sz w:val="20"/>
                <w:szCs w:val="20"/>
              </w:rPr>
            </w:pPr>
            <w:r w:rsidRPr="008770B2">
              <w:rPr>
                <w:rFonts w:cstheme="minorHAnsi"/>
                <w:b/>
                <w:bCs/>
                <w:sz w:val="20"/>
                <w:szCs w:val="20"/>
              </w:rPr>
              <w:t>Opiskelija hoitaa maksuliikennettä</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hoitaa verkkopalvelun maksuliikennettä huolellisesti ohjatusti</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hoitaa verkkopalvelun maksuliikennettä huolellisesti ohjeiden mukaan</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hoitaa maksuliikennettä huolellisesti ja sujuvasti ohjeiden mukaan</w:t>
            </w:r>
          </w:p>
        </w:tc>
        <w:tc>
          <w:tcPr>
            <w:tcW w:w="4767" w:type="dxa"/>
            <w:tcBorders>
              <w:left w:val="single" w:sz="4" w:space="0" w:color="000000" w:themeColor="text1"/>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tekee ohjatusti maksuihin liittyviä jälkitoimia (kuten arkistointi)</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tekee maksuihin liittyvät jälkitoimet</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tekee itsenäisesti maksuihin liittyvät jälkitoimet</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9E78E3">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havainnoi maksuliikenteen mahdollisia riskejä ja tiedottaa niistä tarvittaessa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1"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4"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767" w:type="dxa"/>
          </w:tcPr>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Näyttöpäivä</w:t>
            </w:r>
          </w:p>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Arvioijat</w:t>
            </w:r>
          </w:p>
        </w:tc>
      </w:tr>
    </w:tbl>
    <w:p w:rsidR="00F40F24" w:rsidRPr="008770B2" w:rsidRDefault="00F40F24" w:rsidP="008770B2">
      <w:pPr>
        <w:spacing w:beforeLines="20" w:before="48" w:afterLines="20" w:after="48" w:line="240" w:lineRule="auto"/>
        <w:rPr>
          <w:rFonts w:cstheme="minorHAnsi"/>
          <w:sz w:val="20"/>
          <w:szCs w:val="20"/>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F40F24" w:rsidRPr="008770B2" w:rsidTr="007876E1">
        <w:tc>
          <w:tcPr>
            <w:tcW w:w="1555" w:type="dxa"/>
            <w:tcBorders>
              <w:righ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Ammattitaito-</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F40F24" w:rsidRPr="008770B2" w:rsidRDefault="00F40F24" w:rsidP="007876E1">
            <w:pPr>
              <w:spacing w:beforeLines="30" w:before="72" w:afterLines="30" w:after="72"/>
              <w:jc w:val="center"/>
              <w:rPr>
                <w:rFonts w:cstheme="minorHAnsi"/>
                <w:sz w:val="20"/>
                <w:szCs w:val="20"/>
              </w:rPr>
            </w:pPr>
            <w:r w:rsidRPr="008770B2">
              <w:rPr>
                <w:rFonts w:cstheme="minorHAnsi"/>
                <w:sz w:val="20"/>
                <w:szCs w:val="20"/>
              </w:rPr>
              <w:t>K5</w:t>
            </w:r>
          </w:p>
        </w:tc>
        <w:tc>
          <w:tcPr>
            <w:tcW w:w="4767" w:type="dxa"/>
            <w:tcBorders>
              <w:left w:val="single" w:sz="4" w:space="0" w:color="000000" w:themeColor="text1"/>
            </w:tcBorders>
            <w:shd w:val="clear" w:color="auto" w:fill="EEFAFC"/>
          </w:tcPr>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Näyttösuunnitelma</w:t>
            </w:r>
          </w:p>
          <w:p w:rsidR="00F40F24" w:rsidRPr="008770B2" w:rsidRDefault="00F40F24" w:rsidP="007876E1">
            <w:pPr>
              <w:spacing w:beforeLines="30" w:before="72" w:afterLines="30" w:after="72"/>
              <w:rPr>
                <w:rFonts w:cstheme="minorHAnsi"/>
                <w:sz w:val="20"/>
                <w:szCs w:val="20"/>
              </w:rPr>
            </w:pPr>
            <w:r w:rsidRPr="008770B2">
              <w:rPr>
                <w:rFonts w:cstheme="minorHAnsi"/>
                <w:sz w:val="20"/>
                <w:szCs w:val="20"/>
              </w:rPr>
              <w:t>Arviointi: perustelut ja kommentit</w:t>
            </w:r>
          </w:p>
        </w:tc>
      </w:tr>
      <w:tr w:rsidR="00F40F24" w:rsidRPr="008770B2" w:rsidTr="007876E1">
        <w:trPr>
          <w:trHeight w:val="340"/>
        </w:trPr>
        <w:tc>
          <w:tcPr>
            <w:tcW w:w="1555" w:type="dxa"/>
            <w:vMerge w:val="restart"/>
            <w:tcBorders>
              <w:right w:val="single" w:sz="4" w:space="0" w:color="000000" w:themeColor="text1"/>
            </w:tcBorders>
          </w:tcPr>
          <w:p w:rsidR="00F40F24" w:rsidRPr="008770B2" w:rsidRDefault="00F17F62" w:rsidP="007876E1">
            <w:pPr>
              <w:spacing w:beforeLines="60" w:before="144" w:afterLines="60" w:after="144"/>
              <w:rPr>
                <w:rFonts w:cstheme="minorHAnsi"/>
                <w:sz w:val="20"/>
                <w:szCs w:val="20"/>
              </w:rPr>
            </w:pPr>
            <w:r w:rsidRPr="008770B2">
              <w:rPr>
                <w:rFonts w:cstheme="minorHAnsi"/>
                <w:b/>
                <w:bCs/>
                <w:sz w:val="20"/>
                <w:szCs w:val="20"/>
              </w:rPr>
              <w:t>Opiskelija ylläpitää</w:t>
            </w:r>
            <w:r w:rsidR="009E78E3" w:rsidRPr="008770B2">
              <w:rPr>
                <w:rFonts w:cstheme="minorHAnsi"/>
                <w:b/>
                <w:bCs/>
                <w:sz w:val="20"/>
                <w:szCs w:val="20"/>
              </w:rPr>
              <w:t xml:space="preserve"> varastoa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huolehtii varaston siisteydestä ja järjestyksestä ohjeiden mukaan</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huolehtii varaston siisteydestä ja järjestyksestä</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huolehtii omatoimisesti varaston siisteydestä ja järjestyksestä</w:t>
            </w:r>
          </w:p>
        </w:tc>
        <w:tc>
          <w:tcPr>
            <w:tcW w:w="4767" w:type="dxa"/>
            <w:tcBorders>
              <w:left w:val="single" w:sz="4" w:space="0" w:color="000000" w:themeColor="text1"/>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tuotteiden kelpoisuuden</w:t>
            </w: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tuotteiden kelpoisuuden</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varmistaa tuotteiden kelpoisuuden</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arvioi varaston riittävyyttä</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arvioi ennakoivasti varaston riittävyyttä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tiedottaa havaitsemistaan tilaustarpeista</w:t>
            </w: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tekee tilauksia itsenäisesti</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Borders>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tekee ehdotuksia verkkokaupan valikoimasta</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rPr>
          <w:trHeight w:val="340"/>
        </w:trPr>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40F24" w:rsidRPr="008770B2" w:rsidRDefault="00F40F24" w:rsidP="007876E1">
            <w:pPr>
              <w:autoSpaceDE w:val="0"/>
              <w:autoSpaceDN w:val="0"/>
              <w:adjustRightInd w:val="0"/>
              <w:spacing w:beforeLines="60" w:before="144" w:afterLines="60" w:after="144"/>
              <w:rPr>
                <w:rFonts w:cstheme="minorHAnsi"/>
                <w:sz w:val="20"/>
                <w:szCs w:val="20"/>
              </w:rPr>
            </w:pPr>
          </w:p>
        </w:tc>
        <w:tc>
          <w:tcPr>
            <w:tcW w:w="481" w:type="dxa"/>
            <w:tcBorders>
              <w:top w:val="single" w:sz="4" w:space="0" w:color="BFBFBF" w:themeColor="background1" w:themeShade="BF"/>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tcBorders>
          </w:tcPr>
          <w:p w:rsidR="00F40F24" w:rsidRPr="00B34E14" w:rsidRDefault="00F40F24" w:rsidP="00B34E14">
            <w:pPr>
              <w:autoSpaceDE w:val="0"/>
              <w:autoSpaceDN w:val="0"/>
              <w:adjustRightInd w:val="0"/>
              <w:spacing w:beforeLines="20" w:before="48" w:afterLines="20" w:after="48"/>
              <w:rPr>
                <w:rFonts w:cstheme="minorHAnsi"/>
                <w:sz w:val="20"/>
                <w:szCs w:val="20"/>
              </w:rPr>
            </w:pPr>
          </w:p>
        </w:tc>
        <w:tc>
          <w:tcPr>
            <w:tcW w:w="484" w:type="dxa"/>
            <w:tcBorders>
              <w:top w:val="single" w:sz="4" w:space="0" w:color="BFBFBF" w:themeColor="background1" w:themeShade="BF"/>
              <w:bottom w:val="single" w:sz="4" w:space="0" w:color="BFBFBF" w:themeColor="background1" w:themeShade="BF"/>
            </w:tcBorders>
          </w:tcPr>
          <w:p w:rsidR="00F40F24" w:rsidRPr="008770B2" w:rsidRDefault="00F40F24" w:rsidP="007876E1">
            <w:pPr>
              <w:spacing w:beforeLines="60" w:before="144" w:afterLines="60" w:after="144"/>
              <w:rPr>
                <w:rFonts w:cstheme="minorHAnsi"/>
                <w:sz w:val="20"/>
                <w:szCs w:val="20"/>
              </w:rPr>
            </w:pPr>
          </w:p>
        </w:tc>
        <w:tc>
          <w:tcPr>
            <w:tcW w:w="2835" w:type="dxa"/>
            <w:tcBorders>
              <w:top w:val="single" w:sz="4" w:space="0" w:color="BFBFBF" w:themeColor="background1" w:themeShade="BF"/>
              <w:bottom w:val="single" w:sz="4" w:space="0" w:color="BFBFBF" w:themeColor="background1" w:themeShade="BF"/>
              <w:right w:val="single" w:sz="4" w:space="0" w:color="000000" w:themeColor="text1"/>
            </w:tcBorders>
          </w:tcPr>
          <w:p w:rsidR="00F40F24" w:rsidRPr="008770B2" w:rsidRDefault="009E78E3"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seuraa kilpailutilannetta verkkokaupan tuoteryhmissä</w:t>
            </w:r>
          </w:p>
        </w:tc>
        <w:tc>
          <w:tcPr>
            <w:tcW w:w="476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tcPr>
          <w:p w:rsidR="00F40F24" w:rsidRPr="008770B2" w:rsidRDefault="00F40F24" w:rsidP="007876E1">
            <w:pPr>
              <w:spacing w:beforeLines="60" w:before="144" w:afterLines="60" w:after="144"/>
              <w:rPr>
                <w:rFonts w:cstheme="minorHAnsi"/>
                <w:sz w:val="20"/>
                <w:szCs w:val="20"/>
              </w:rPr>
            </w:pPr>
          </w:p>
        </w:tc>
      </w:tr>
      <w:tr w:rsidR="00F40F24" w:rsidRPr="008770B2" w:rsidTr="007876E1">
        <w:tc>
          <w:tcPr>
            <w:tcW w:w="1555" w:type="dxa"/>
            <w:vMerge/>
          </w:tcPr>
          <w:p w:rsidR="00F40F24" w:rsidRPr="008770B2" w:rsidRDefault="00F40F24" w:rsidP="007876E1">
            <w:pPr>
              <w:spacing w:beforeLines="60" w:before="144" w:afterLines="60" w:after="14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1"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84" w:type="dxa"/>
          </w:tcPr>
          <w:p w:rsidR="00F40F24" w:rsidRPr="008770B2" w:rsidRDefault="00F40F24" w:rsidP="007876E1">
            <w:pPr>
              <w:spacing w:beforeLines="10" w:before="24" w:afterLines="10" w:after="24"/>
              <w:rPr>
                <w:rFonts w:cstheme="minorHAnsi"/>
                <w:sz w:val="20"/>
                <w:szCs w:val="20"/>
              </w:rPr>
            </w:pPr>
          </w:p>
        </w:tc>
        <w:tc>
          <w:tcPr>
            <w:tcW w:w="2835" w:type="dxa"/>
          </w:tcPr>
          <w:p w:rsidR="00F40F24" w:rsidRPr="008770B2" w:rsidRDefault="00F40F24" w:rsidP="007876E1">
            <w:pPr>
              <w:spacing w:beforeLines="10" w:before="24" w:afterLines="10" w:after="24"/>
              <w:rPr>
                <w:rFonts w:cstheme="minorHAnsi"/>
                <w:sz w:val="20"/>
                <w:szCs w:val="20"/>
              </w:rPr>
            </w:pPr>
          </w:p>
        </w:tc>
        <w:tc>
          <w:tcPr>
            <w:tcW w:w="4767" w:type="dxa"/>
          </w:tcPr>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Näyttöpäivä</w:t>
            </w:r>
          </w:p>
          <w:p w:rsidR="00F40F24" w:rsidRPr="008770B2" w:rsidRDefault="00F40F24" w:rsidP="007876E1">
            <w:pPr>
              <w:spacing w:beforeLines="10" w:before="24" w:afterLines="10" w:after="24"/>
              <w:rPr>
                <w:rFonts w:cstheme="minorHAnsi"/>
                <w:sz w:val="20"/>
                <w:szCs w:val="20"/>
              </w:rPr>
            </w:pPr>
            <w:r w:rsidRPr="008770B2">
              <w:rPr>
                <w:rFonts w:cstheme="minorHAnsi"/>
                <w:sz w:val="20"/>
                <w:szCs w:val="20"/>
              </w:rPr>
              <w:t>Arvioijat</w:t>
            </w:r>
          </w:p>
        </w:tc>
      </w:tr>
    </w:tbl>
    <w:p w:rsidR="00F40F24" w:rsidRPr="008770B2" w:rsidRDefault="00F40F24" w:rsidP="00B142FA">
      <w:pPr>
        <w:spacing w:beforeLines="60" w:before="144" w:afterLines="60" w:after="144" w:line="240" w:lineRule="auto"/>
        <w:rPr>
          <w:rFonts w:cstheme="minorHAnsi"/>
          <w:sz w:val="20"/>
          <w:szCs w:val="20"/>
        </w:rPr>
      </w:pPr>
    </w:p>
    <w:p w:rsidR="008770B2" w:rsidRPr="008770B2" w:rsidRDefault="008770B2" w:rsidP="00B142FA">
      <w:pPr>
        <w:spacing w:beforeLines="60" w:before="144" w:afterLines="60" w:after="144" w:line="240" w:lineRule="auto"/>
        <w:rPr>
          <w:rFonts w:cstheme="minorHAnsi"/>
          <w:sz w:val="20"/>
          <w:szCs w:val="20"/>
        </w:rPr>
      </w:pPr>
    </w:p>
    <w:tbl>
      <w:tblPr>
        <w:tblStyle w:val="TaulukkoRuudukko"/>
        <w:tblW w:w="15792" w:type="dxa"/>
        <w:tblInd w:w="-5" w:type="dxa"/>
        <w:tblLook w:val="04A0" w:firstRow="1" w:lastRow="0" w:firstColumn="1" w:lastColumn="0" w:noHBand="0" w:noVBand="1"/>
      </w:tblPr>
      <w:tblGrid>
        <w:gridCol w:w="1555"/>
        <w:gridCol w:w="2835"/>
        <w:gridCol w:w="481"/>
        <w:gridCol w:w="2835"/>
        <w:gridCol w:w="484"/>
        <w:gridCol w:w="2835"/>
        <w:gridCol w:w="4767"/>
      </w:tblGrid>
      <w:tr w:rsidR="009E78E3" w:rsidRPr="008770B2" w:rsidTr="00125D7F">
        <w:tc>
          <w:tcPr>
            <w:tcW w:w="1555" w:type="dxa"/>
            <w:tcBorders>
              <w:right w:val="single" w:sz="4" w:space="0" w:color="000000" w:themeColor="text1"/>
            </w:tcBorders>
            <w:shd w:val="clear" w:color="auto" w:fill="EEFAFC"/>
          </w:tcPr>
          <w:p w:rsidR="009E78E3" w:rsidRPr="008770B2" w:rsidRDefault="009E78E3" w:rsidP="00125D7F">
            <w:pPr>
              <w:spacing w:beforeLines="30" w:before="72" w:afterLines="30" w:after="72"/>
              <w:rPr>
                <w:rFonts w:cstheme="minorHAnsi"/>
                <w:sz w:val="20"/>
                <w:szCs w:val="20"/>
              </w:rPr>
            </w:pPr>
            <w:r w:rsidRPr="008770B2">
              <w:rPr>
                <w:rFonts w:cstheme="minorHAnsi"/>
                <w:sz w:val="20"/>
                <w:szCs w:val="20"/>
              </w:rPr>
              <w:t>Ammattitaito-</w:t>
            </w:r>
          </w:p>
          <w:p w:rsidR="009E78E3" w:rsidRPr="008770B2" w:rsidRDefault="009E78E3" w:rsidP="00125D7F">
            <w:pPr>
              <w:spacing w:beforeLines="30" w:before="72" w:afterLines="30" w:after="72"/>
              <w:rPr>
                <w:rFonts w:cstheme="minorHAnsi"/>
                <w:sz w:val="20"/>
                <w:szCs w:val="20"/>
              </w:rPr>
            </w:pPr>
            <w:r w:rsidRPr="008770B2">
              <w:rPr>
                <w:rFonts w:cstheme="minorHAnsi"/>
                <w:sz w:val="20"/>
                <w:szCs w:val="20"/>
              </w:rPr>
              <w:t>vaatimus</w:t>
            </w:r>
          </w:p>
        </w:tc>
        <w:tc>
          <w:tcPr>
            <w:tcW w:w="28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EFAFC"/>
          </w:tcPr>
          <w:p w:rsidR="009E78E3" w:rsidRPr="008770B2" w:rsidRDefault="009E78E3" w:rsidP="00125D7F">
            <w:pPr>
              <w:spacing w:beforeLines="30" w:before="72" w:afterLines="30" w:after="72"/>
              <w:jc w:val="center"/>
              <w:rPr>
                <w:rFonts w:cstheme="minorHAnsi"/>
                <w:sz w:val="20"/>
                <w:szCs w:val="20"/>
              </w:rPr>
            </w:pPr>
            <w:r w:rsidRPr="008770B2">
              <w:rPr>
                <w:rFonts w:cstheme="minorHAnsi"/>
                <w:sz w:val="20"/>
                <w:szCs w:val="20"/>
              </w:rPr>
              <w:t>T1</w:t>
            </w:r>
          </w:p>
        </w:tc>
        <w:tc>
          <w:tcPr>
            <w:tcW w:w="481"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E78E3" w:rsidRPr="008770B2" w:rsidRDefault="009E78E3" w:rsidP="00125D7F">
            <w:pPr>
              <w:spacing w:beforeLines="30" w:before="72" w:afterLines="30" w:after="72"/>
              <w:jc w:val="center"/>
              <w:rPr>
                <w:rFonts w:cstheme="minorHAnsi"/>
                <w:sz w:val="20"/>
                <w:szCs w:val="20"/>
              </w:rPr>
            </w:pPr>
            <w:r w:rsidRPr="008770B2">
              <w:rPr>
                <w:rFonts w:cstheme="minorHAnsi"/>
                <w:sz w:val="20"/>
                <w:szCs w:val="20"/>
              </w:rPr>
              <w:t>T2</w:t>
            </w:r>
          </w:p>
        </w:tc>
        <w:tc>
          <w:tcPr>
            <w:tcW w:w="283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E78E3" w:rsidRPr="008770B2" w:rsidRDefault="009E78E3" w:rsidP="00125D7F">
            <w:pPr>
              <w:spacing w:beforeLines="30" w:before="72" w:afterLines="30" w:after="72"/>
              <w:jc w:val="center"/>
              <w:rPr>
                <w:rFonts w:cstheme="minorHAnsi"/>
                <w:sz w:val="20"/>
                <w:szCs w:val="20"/>
              </w:rPr>
            </w:pPr>
            <w:r w:rsidRPr="008770B2">
              <w:rPr>
                <w:rFonts w:cstheme="minorHAnsi"/>
                <w:sz w:val="20"/>
                <w:szCs w:val="20"/>
              </w:rPr>
              <w:t>H3</w:t>
            </w:r>
          </w:p>
        </w:tc>
        <w:tc>
          <w:tcPr>
            <w:tcW w:w="484"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EFAFC"/>
          </w:tcPr>
          <w:p w:rsidR="009E78E3" w:rsidRPr="008770B2" w:rsidRDefault="009E78E3" w:rsidP="00125D7F">
            <w:pPr>
              <w:spacing w:beforeLines="30" w:before="72" w:afterLines="30" w:after="72"/>
              <w:jc w:val="center"/>
              <w:rPr>
                <w:rFonts w:cstheme="minorHAnsi"/>
                <w:sz w:val="20"/>
                <w:szCs w:val="20"/>
              </w:rPr>
            </w:pPr>
            <w:r w:rsidRPr="008770B2">
              <w:rPr>
                <w:rFonts w:cstheme="minorHAnsi"/>
                <w:sz w:val="20"/>
                <w:szCs w:val="20"/>
              </w:rPr>
              <w:t>H4</w:t>
            </w:r>
          </w:p>
        </w:tc>
        <w:tc>
          <w:tcPr>
            <w:tcW w:w="2835"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EFAFC"/>
          </w:tcPr>
          <w:p w:rsidR="009E78E3" w:rsidRPr="008770B2" w:rsidRDefault="009E78E3" w:rsidP="00125D7F">
            <w:pPr>
              <w:spacing w:beforeLines="30" w:before="72" w:afterLines="30" w:after="72"/>
              <w:jc w:val="center"/>
              <w:rPr>
                <w:rFonts w:cstheme="minorHAnsi"/>
                <w:sz w:val="20"/>
                <w:szCs w:val="20"/>
              </w:rPr>
            </w:pPr>
            <w:r w:rsidRPr="008770B2">
              <w:rPr>
                <w:rFonts w:cstheme="minorHAnsi"/>
                <w:sz w:val="20"/>
                <w:szCs w:val="20"/>
              </w:rPr>
              <w:t>K5</w:t>
            </w:r>
          </w:p>
        </w:tc>
        <w:tc>
          <w:tcPr>
            <w:tcW w:w="4767" w:type="dxa"/>
            <w:tcBorders>
              <w:left w:val="single" w:sz="4" w:space="0" w:color="000000" w:themeColor="text1"/>
            </w:tcBorders>
            <w:shd w:val="clear" w:color="auto" w:fill="EEFAFC"/>
          </w:tcPr>
          <w:p w:rsidR="009E78E3" w:rsidRPr="008770B2" w:rsidRDefault="009E78E3" w:rsidP="00125D7F">
            <w:pPr>
              <w:spacing w:beforeLines="30" w:before="72" w:afterLines="30" w:after="72"/>
              <w:rPr>
                <w:rFonts w:cstheme="minorHAnsi"/>
                <w:sz w:val="20"/>
                <w:szCs w:val="20"/>
              </w:rPr>
            </w:pPr>
            <w:r w:rsidRPr="008770B2">
              <w:rPr>
                <w:rFonts w:cstheme="minorHAnsi"/>
                <w:sz w:val="20"/>
                <w:szCs w:val="20"/>
              </w:rPr>
              <w:t>Näyttösuunnitelma</w:t>
            </w:r>
          </w:p>
          <w:p w:rsidR="009E78E3" w:rsidRPr="008770B2" w:rsidRDefault="009E78E3" w:rsidP="00125D7F">
            <w:pPr>
              <w:spacing w:beforeLines="30" w:before="72" w:afterLines="30" w:after="72"/>
              <w:rPr>
                <w:rFonts w:cstheme="minorHAnsi"/>
                <w:sz w:val="20"/>
                <w:szCs w:val="20"/>
              </w:rPr>
            </w:pPr>
            <w:r w:rsidRPr="008770B2">
              <w:rPr>
                <w:rFonts w:cstheme="minorHAnsi"/>
                <w:sz w:val="20"/>
                <w:szCs w:val="20"/>
              </w:rPr>
              <w:t>Arviointi: perustelut ja kommentit</w:t>
            </w:r>
          </w:p>
        </w:tc>
      </w:tr>
      <w:tr w:rsidR="009E78E3" w:rsidRPr="008770B2" w:rsidTr="00125D7F">
        <w:trPr>
          <w:trHeight w:val="340"/>
        </w:trPr>
        <w:tc>
          <w:tcPr>
            <w:tcW w:w="1555" w:type="dxa"/>
            <w:vMerge w:val="restart"/>
            <w:tcBorders>
              <w:right w:val="single" w:sz="4" w:space="0" w:color="000000" w:themeColor="text1"/>
            </w:tcBorders>
          </w:tcPr>
          <w:p w:rsidR="009E78E3" w:rsidRPr="008770B2" w:rsidRDefault="009E78E3" w:rsidP="00125D7F">
            <w:pPr>
              <w:spacing w:beforeLines="60" w:before="144" w:afterLines="60" w:after="144"/>
              <w:rPr>
                <w:rFonts w:cstheme="minorHAnsi"/>
                <w:sz w:val="20"/>
                <w:szCs w:val="20"/>
              </w:rPr>
            </w:pPr>
            <w:r w:rsidRPr="008770B2">
              <w:rPr>
                <w:rFonts w:cstheme="minorHAnsi"/>
                <w:b/>
                <w:bCs/>
                <w:sz w:val="20"/>
                <w:szCs w:val="20"/>
              </w:rPr>
              <w:t>Opiskelija ratkaisee ongelmatilanteita</w:t>
            </w: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E78E3"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tiedottaa ongelmatilanteista vastuuhenkilöä</w:t>
            </w:r>
          </w:p>
        </w:tc>
        <w:tc>
          <w:tcPr>
            <w:tcW w:w="481"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E78E3" w:rsidRPr="008770B2" w:rsidRDefault="009E78E3" w:rsidP="008770B2">
            <w:pPr>
              <w:autoSpaceDE w:val="0"/>
              <w:autoSpaceDN w:val="0"/>
              <w:adjustRightInd w:val="0"/>
              <w:spacing w:beforeLines="20" w:before="48" w:afterLines="20" w:after="48"/>
              <w:ind w:left="57"/>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E78E3"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ratkaisee tavallisia ongelmatilanteita ja tarvittaessa tiedottaa vastuuhenkilöä ongelmasta</w:t>
            </w:r>
          </w:p>
        </w:tc>
        <w:tc>
          <w:tcPr>
            <w:tcW w:w="48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E78E3" w:rsidRPr="008770B2" w:rsidRDefault="009E78E3" w:rsidP="008770B2">
            <w:pPr>
              <w:autoSpaceDE w:val="0"/>
              <w:autoSpaceDN w:val="0"/>
              <w:adjustRightInd w:val="0"/>
              <w:spacing w:beforeLines="20" w:before="48" w:afterLines="20" w:after="48"/>
              <w:ind w:left="57"/>
              <w:rPr>
                <w:rFonts w:cstheme="minorHAnsi"/>
                <w:sz w:val="20"/>
                <w:szCs w:val="20"/>
              </w:rPr>
            </w:pPr>
          </w:p>
        </w:tc>
        <w:tc>
          <w:tcPr>
            <w:tcW w:w="2835"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tcPr>
          <w:p w:rsidR="009E78E3" w:rsidRPr="008770B2" w:rsidRDefault="008770B2" w:rsidP="008770B2">
            <w:pPr>
              <w:pStyle w:val="Luettelokappale"/>
              <w:numPr>
                <w:ilvl w:val="0"/>
                <w:numId w:val="3"/>
              </w:numPr>
              <w:autoSpaceDE w:val="0"/>
              <w:autoSpaceDN w:val="0"/>
              <w:adjustRightInd w:val="0"/>
              <w:spacing w:beforeLines="20" w:before="48" w:afterLines="20" w:after="48"/>
              <w:ind w:left="284" w:hanging="227"/>
              <w:rPr>
                <w:rFonts w:cstheme="minorHAnsi"/>
                <w:sz w:val="20"/>
                <w:szCs w:val="20"/>
              </w:rPr>
            </w:pPr>
            <w:r w:rsidRPr="008770B2">
              <w:rPr>
                <w:rFonts w:cstheme="minorHAnsi"/>
                <w:sz w:val="20"/>
                <w:szCs w:val="20"/>
              </w:rPr>
              <w:t>ratkaisee sujuvasti tavallisia ongelmatilanteita ja tarvittaessa tiedot</w:t>
            </w:r>
            <w:r w:rsidR="002A2F3C">
              <w:rPr>
                <w:rFonts w:cstheme="minorHAnsi"/>
                <w:sz w:val="20"/>
                <w:szCs w:val="20"/>
              </w:rPr>
              <w:t>taa vastuuhenkilölle ongelmasta</w:t>
            </w:r>
          </w:p>
        </w:tc>
        <w:tc>
          <w:tcPr>
            <w:tcW w:w="4767" w:type="dxa"/>
            <w:tcBorders>
              <w:left w:val="single" w:sz="4" w:space="0" w:color="000000" w:themeColor="text1"/>
              <w:bottom w:val="single" w:sz="4" w:space="0" w:color="BFBFBF" w:themeColor="background1" w:themeShade="BF"/>
            </w:tcBorders>
          </w:tcPr>
          <w:p w:rsidR="009E78E3" w:rsidRPr="008770B2" w:rsidRDefault="009E78E3" w:rsidP="00125D7F">
            <w:pPr>
              <w:spacing w:beforeLines="60" w:before="144" w:afterLines="60" w:after="144"/>
              <w:rPr>
                <w:rFonts w:cstheme="minorHAnsi"/>
                <w:sz w:val="20"/>
                <w:szCs w:val="20"/>
              </w:rPr>
            </w:pPr>
          </w:p>
        </w:tc>
      </w:tr>
      <w:tr w:rsidR="009E78E3" w:rsidRPr="008770B2" w:rsidTr="00125D7F">
        <w:tc>
          <w:tcPr>
            <w:tcW w:w="1555" w:type="dxa"/>
            <w:vMerge/>
          </w:tcPr>
          <w:p w:rsidR="009E78E3" w:rsidRPr="008770B2" w:rsidRDefault="009E78E3" w:rsidP="00125D7F">
            <w:pPr>
              <w:spacing w:beforeLines="60" w:before="144" w:afterLines="60" w:after="144"/>
              <w:rPr>
                <w:rFonts w:cstheme="minorHAnsi"/>
                <w:sz w:val="20"/>
                <w:szCs w:val="20"/>
              </w:rPr>
            </w:pPr>
          </w:p>
        </w:tc>
        <w:tc>
          <w:tcPr>
            <w:tcW w:w="2835" w:type="dxa"/>
          </w:tcPr>
          <w:p w:rsidR="009E78E3" w:rsidRPr="008770B2" w:rsidRDefault="009E78E3" w:rsidP="00125D7F">
            <w:pPr>
              <w:spacing w:beforeLines="10" w:before="24" w:afterLines="10" w:after="24"/>
              <w:rPr>
                <w:rFonts w:cstheme="minorHAnsi"/>
                <w:sz w:val="20"/>
                <w:szCs w:val="20"/>
              </w:rPr>
            </w:pPr>
          </w:p>
        </w:tc>
        <w:tc>
          <w:tcPr>
            <w:tcW w:w="481" w:type="dxa"/>
          </w:tcPr>
          <w:p w:rsidR="009E78E3" w:rsidRPr="008770B2" w:rsidRDefault="009E78E3" w:rsidP="00125D7F">
            <w:pPr>
              <w:spacing w:beforeLines="10" w:before="24" w:afterLines="10" w:after="24"/>
              <w:rPr>
                <w:rFonts w:cstheme="minorHAnsi"/>
                <w:sz w:val="20"/>
                <w:szCs w:val="20"/>
              </w:rPr>
            </w:pPr>
          </w:p>
        </w:tc>
        <w:tc>
          <w:tcPr>
            <w:tcW w:w="2835" w:type="dxa"/>
          </w:tcPr>
          <w:p w:rsidR="009E78E3" w:rsidRPr="008770B2" w:rsidRDefault="009E78E3" w:rsidP="00125D7F">
            <w:pPr>
              <w:spacing w:beforeLines="10" w:before="24" w:afterLines="10" w:after="24"/>
              <w:rPr>
                <w:rFonts w:cstheme="minorHAnsi"/>
                <w:sz w:val="20"/>
                <w:szCs w:val="20"/>
              </w:rPr>
            </w:pPr>
          </w:p>
        </w:tc>
        <w:tc>
          <w:tcPr>
            <w:tcW w:w="484" w:type="dxa"/>
          </w:tcPr>
          <w:p w:rsidR="009E78E3" w:rsidRPr="008770B2" w:rsidRDefault="009E78E3" w:rsidP="00125D7F">
            <w:pPr>
              <w:spacing w:beforeLines="10" w:before="24" w:afterLines="10" w:after="24"/>
              <w:rPr>
                <w:rFonts w:cstheme="minorHAnsi"/>
                <w:sz w:val="20"/>
                <w:szCs w:val="20"/>
              </w:rPr>
            </w:pPr>
          </w:p>
        </w:tc>
        <w:tc>
          <w:tcPr>
            <w:tcW w:w="2835" w:type="dxa"/>
          </w:tcPr>
          <w:p w:rsidR="009E78E3" w:rsidRPr="008770B2" w:rsidRDefault="009E78E3" w:rsidP="00125D7F">
            <w:pPr>
              <w:spacing w:beforeLines="10" w:before="24" w:afterLines="10" w:after="24"/>
              <w:rPr>
                <w:rFonts w:cstheme="minorHAnsi"/>
                <w:sz w:val="20"/>
                <w:szCs w:val="20"/>
              </w:rPr>
            </w:pPr>
          </w:p>
        </w:tc>
        <w:tc>
          <w:tcPr>
            <w:tcW w:w="4767" w:type="dxa"/>
          </w:tcPr>
          <w:p w:rsidR="009E78E3" w:rsidRPr="008770B2" w:rsidRDefault="009E78E3" w:rsidP="00125D7F">
            <w:pPr>
              <w:spacing w:beforeLines="10" w:before="24" w:afterLines="10" w:after="24"/>
              <w:rPr>
                <w:rFonts w:cstheme="minorHAnsi"/>
                <w:sz w:val="20"/>
                <w:szCs w:val="20"/>
              </w:rPr>
            </w:pPr>
            <w:r w:rsidRPr="008770B2">
              <w:rPr>
                <w:rFonts w:cstheme="minorHAnsi"/>
                <w:sz w:val="20"/>
                <w:szCs w:val="20"/>
              </w:rPr>
              <w:t>Näyttöpäivä</w:t>
            </w:r>
          </w:p>
          <w:p w:rsidR="009E78E3" w:rsidRPr="008770B2" w:rsidRDefault="009E78E3" w:rsidP="00125D7F">
            <w:pPr>
              <w:spacing w:beforeLines="10" w:before="24" w:afterLines="10" w:after="24"/>
              <w:rPr>
                <w:rFonts w:cstheme="minorHAnsi"/>
                <w:sz w:val="20"/>
                <w:szCs w:val="20"/>
              </w:rPr>
            </w:pPr>
            <w:r w:rsidRPr="008770B2">
              <w:rPr>
                <w:rFonts w:cstheme="minorHAnsi"/>
                <w:sz w:val="20"/>
                <w:szCs w:val="20"/>
              </w:rPr>
              <w:t>Arvioijat</w:t>
            </w:r>
          </w:p>
        </w:tc>
      </w:tr>
    </w:tbl>
    <w:p w:rsidR="009E78E3" w:rsidRPr="008770B2" w:rsidRDefault="009E78E3" w:rsidP="00B142FA">
      <w:pPr>
        <w:spacing w:beforeLines="60" w:before="144" w:afterLines="60" w:after="144" w:line="240" w:lineRule="auto"/>
        <w:rPr>
          <w:rFonts w:cstheme="minorHAnsi"/>
          <w:sz w:val="20"/>
          <w:szCs w:val="20"/>
        </w:rPr>
      </w:pPr>
    </w:p>
    <w:p w:rsidR="00653C41" w:rsidRPr="008770B2" w:rsidRDefault="00653C41" w:rsidP="00653C41">
      <w:pPr>
        <w:autoSpaceDE w:val="0"/>
        <w:autoSpaceDN w:val="0"/>
        <w:adjustRightInd w:val="0"/>
        <w:spacing w:after="0" w:line="240" w:lineRule="auto"/>
        <w:rPr>
          <w:rFonts w:cstheme="minorHAnsi"/>
          <w:b/>
          <w:bCs/>
          <w:color w:val="000000" w:themeColor="text1"/>
          <w:sz w:val="20"/>
          <w:szCs w:val="20"/>
        </w:rPr>
      </w:pPr>
      <w:r w:rsidRPr="008770B2">
        <w:rPr>
          <w:rFonts w:cstheme="minorHAnsi"/>
          <w:b/>
          <w:bCs/>
          <w:color w:val="000000" w:themeColor="text1"/>
          <w:sz w:val="20"/>
          <w:szCs w:val="20"/>
        </w:rPr>
        <w:t>Ammattitaidon osoittamistavat</w:t>
      </w:r>
    </w:p>
    <w:p w:rsidR="00F17F62" w:rsidRPr="008770B2" w:rsidRDefault="00F17F62" w:rsidP="00653C41">
      <w:pPr>
        <w:autoSpaceDE w:val="0"/>
        <w:autoSpaceDN w:val="0"/>
        <w:adjustRightInd w:val="0"/>
        <w:spacing w:after="0" w:line="240" w:lineRule="auto"/>
        <w:rPr>
          <w:rFonts w:cstheme="minorHAnsi"/>
          <w:b/>
          <w:bCs/>
          <w:color w:val="000000" w:themeColor="text1"/>
          <w:sz w:val="20"/>
          <w:szCs w:val="20"/>
        </w:rPr>
      </w:pPr>
    </w:p>
    <w:p w:rsidR="00F17F62" w:rsidRPr="008770B2" w:rsidRDefault="00F17F62" w:rsidP="00F17F62">
      <w:pPr>
        <w:autoSpaceDE w:val="0"/>
        <w:autoSpaceDN w:val="0"/>
        <w:adjustRightInd w:val="0"/>
        <w:spacing w:after="0" w:line="240" w:lineRule="auto"/>
        <w:rPr>
          <w:rFonts w:cstheme="minorHAnsi"/>
          <w:b/>
          <w:bCs/>
          <w:color w:val="000000" w:themeColor="text1"/>
          <w:sz w:val="20"/>
          <w:szCs w:val="20"/>
        </w:rPr>
      </w:pPr>
      <w:r w:rsidRPr="008770B2">
        <w:rPr>
          <w:rFonts w:cstheme="minorHAnsi"/>
          <w:color w:val="000000"/>
          <w:sz w:val="20"/>
          <w:szCs w:val="20"/>
        </w:rPr>
        <w:t>Opiskelija osoittaa ammattitaitonsa näytössä käytännön työtehtävissä toimimalla lääkealan tai muussa soveltuvassa ympäristössä lääketeknikon tehtävissä. Siltä osin kuin tutkinnon osassa vaadittua ammattitaitoa ei voida arvioida näytön perusteella, ammattitaidon osoittamista täydennetään yksilöllisesti muilla tavoin.</w:t>
      </w:r>
    </w:p>
    <w:p w:rsidR="006273C3" w:rsidRPr="008770B2" w:rsidRDefault="006273C3" w:rsidP="00B142FA">
      <w:pPr>
        <w:spacing w:beforeLines="60" w:before="144" w:afterLines="60" w:after="144" w:line="240" w:lineRule="auto"/>
        <w:rPr>
          <w:rFonts w:cstheme="minorHAnsi"/>
          <w:sz w:val="20"/>
          <w:szCs w:val="20"/>
        </w:rPr>
      </w:pPr>
    </w:p>
    <w:sectPr w:rsidR="006273C3" w:rsidRPr="008770B2" w:rsidSect="001D6EB8">
      <w:headerReference w:type="default" r:id="rId7"/>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F2" w:rsidRDefault="00D368F2" w:rsidP="001D6EB8">
      <w:pPr>
        <w:spacing w:after="0" w:line="240" w:lineRule="auto"/>
      </w:pPr>
      <w:r>
        <w:separator/>
      </w:r>
    </w:p>
  </w:endnote>
  <w:endnote w:type="continuationSeparator" w:id="0">
    <w:p w:rsidR="00D368F2" w:rsidRDefault="00D368F2" w:rsidP="001D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F2" w:rsidRDefault="00D368F2" w:rsidP="001D6EB8">
      <w:pPr>
        <w:spacing w:after="0" w:line="240" w:lineRule="auto"/>
      </w:pPr>
      <w:r>
        <w:separator/>
      </w:r>
    </w:p>
  </w:footnote>
  <w:footnote w:type="continuationSeparator" w:id="0">
    <w:p w:rsidR="00D368F2" w:rsidRDefault="00D368F2" w:rsidP="001D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B8" w:rsidRPr="00F40F24" w:rsidRDefault="001D6EB8" w:rsidP="001D6EB8">
    <w:pPr>
      <w:pStyle w:val="Yltunniste"/>
      <w:tabs>
        <w:tab w:val="clear" w:pos="4819"/>
        <w:tab w:val="clear" w:pos="9638"/>
      </w:tabs>
      <w:rPr>
        <w:sz w:val="20"/>
        <w:szCs w:val="20"/>
      </w:rPr>
    </w:pPr>
    <w:r w:rsidRPr="006273C3">
      <w:rPr>
        <w:sz w:val="24"/>
        <w:szCs w:val="24"/>
      </w:rPr>
      <w:tab/>
    </w:r>
    <w:r w:rsidRPr="006273C3">
      <w:rPr>
        <w:sz w:val="24"/>
        <w:szCs w:val="24"/>
      </w:rPr>
      <w:tab/>
    </w:r>
    <w:r w:rsidRPr="006273C3">
      <w:rPr>
        <w:sz w:val="24"/>
        <w:szCs w:val="24"/>
      </w:rPr>
      <w:tab/>
    </w:r>
    <w:r w:rsidRPr="006273C3">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Pr>
        <w:sz w:val="24"/>
        <w:szCs w:val="24"/>
      </w:rPr>
      <w:tab/>
    </w:r>
    <w:r w:rsidR="008A7C7F" w:rsidRPr="008A7C7F">
      <w:tab/>
    </w:r>
    <w:r w:rsidRPr="00F40F24">
      <w:rPr>
        <w:sz w:val="20"/>
        <w:szCs w:val="20"/>
      </w:rPr>
      <w:fldChar w:fldCharType="begin"/>
    </w:r>
    <w:r w:rsidRPr="00F40F24">
      <w:rPr>
        <w:sz w:val="20"/>
        <w:szCs w:val="20"/>
      </w:rPr>
      <w:instrText xml:space="preserve"> PAGE   \* MERGEFORMAT </w:instrText>
    </w:r>
    <w:r w:rsidRPr="00F40F24">
      <w:rPr>
        <w:sz w:val="20"/>
        <w:szCs w:val="20"/>
      </w:rPr>
      <w:fldChar w:fldCharType="separate"/>
    </w:r>
    <w:r w:rsidR="00751ADC">
      <w:rPr>
        <w:noProof/>
        <w:sz w:val="20"/>
        <w:szCs w:val="20"/>
      </w:rPr>
      <w:t>1</w:t>
    </w:r>
    <w:r w:rsidRPr="00F40F24">
      <w:rPr>
        <w:sz w:val="20"/>
        <w:szCs w:val="20"/>
      </w:rPr>
      <w:fldChar w:fldCharType="end"/>
    </w:r>
    <w:r w:rsidRPr="00F40F24">
      <w:rPr>
        <w:sz w:val="20"/>
        <w:szCs w:val="20"/>
      </w:rPr>
      <w:t xml:space="preserve"> (</w:t>
    </w:r>
    <w:r w:rsidR="00CB4D37" w:rsidRPr="00F40F24">
      <w:rPr>
        <w:sz w:val="20"/>
        <w:szCs w:val="20"/>
      </w:rPr>
      <w:fldChar w:fldCharType="begin"/>
    </w:r>
    <w:r w:rsidR="00CB4D37" w:rsidRPr="00F40F24">
      <w:rPr>
        <w:sz w:val="20"/>
        <w:szCs w:val="20"/>
      </w:rPr>
      <w:instrText xml:space="preserve"> NUMPAGES   \* MERGEFORMAT </w:instrText>
    </w:r>
    <w:r w:rsidR="00CB4D37" w:rsidRPr="00F40F24">
      <w:rPr>
        <w:sz w:val="20"/>
        <w:szCs w:val="20"/>
      </w:rPr>
      <w:fldChar w:fldCharType="separate"/>
    </w:r>
    <w:r w:rsidR="00751ADC">
      <w:rPr>
        <w:noProof/>
        <w:sz w:val="20"/>
        <w:szCs w:val="20"/>
      </w:rPr>
      <w:t>1</w:t>
    </w:r>
    <w:r w:rsidR="00CB4D37" w:rsidRPr="00F40F24">
      <w:rPr>
        <w:noProof/>
        <w:sz w:val="20"/>
        <w:szCs w:val="20"/>
      </w:rPr>
      <w:fldChar w:fldCharType="end"/>
    </w:r>
    <w:r w:rsidRPr="00F40F24">
      <w:rPr>
        <w:sz w:val="20"/>
        <w:szCs w:val="20"/>
      </w:rPr>
      <w:t>)</w:t>
    </w:r>
  </w:p>
  <w:p w:rsidR="00803220" w:rsidRPr="008A7C7F" w:rsidRDefault="00803220" w:rsidP="001D6EB8">
    <w:pPr>
      <w:pStyle w:val="Yltunniste"/>
      <w:tabs>
        <w:tab w:val="clear" w:pos="4819"/>
        <w:tab w:val="clear" w:pos="9638"/>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86C"/>
    <w:multiLevelType w:val="hybridMultilevel"/>
    <w:tmpl w:val="494071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CF47B60"/>
    <w:multiLevelType w:val="hybridMultilevel"/>
    <w:tmpl w:val="C0B46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DCD76B4"/>
    <w:multiLevelType w:val="hybridMultilevel"/>
    <w:tmpl w:val="E43EC7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B8"/>
    <w:rsid w:val="0001417F"/>
    <w:rsid w:val="00056320"/>
    <w:rsid w:val="000D7466"/>
    <w:rsid w:val="000E72F3"/>
    <w:rsid w:val="00140430"/>
    <w:rsid w:val="00150C8F"/>
    <w:rsid w:val="001C1346"/>
    <w:rsid w:val="001D6EB8"/>
    <w:rsid w:val="001F4E7A"/>
    <w:rsid w:val="00252394"/>
    <w:rsid w:val="002A2F3C"/>
    <w:rsid w:val="004516DD"/>
    <w:rsid w:val="005242B5"/>
    <w:rsid w:val="006273C3"/>
    <w:rsid w:val="006500C4"/>
    <w:rsid w:val="00653C41"/>
    <w:rsid w:val="0066230D"/>
    <w:rsid w:val="006967AE"/>
    <w:rsid w:val="006B3535"/>
    <w:rsid w:val="006E4D17"/>
    <w:rsid w:val="007404D8"/>
    <w:rsid w:val="00751ADC"/>
    <w:rsid w:val="00803220"/>
    <w:rsid w:val="00876035"/>
    <w:rsid w:val="008770B2"/>
    <w:rsid w:val="008A7C7F"/>
    <w:rsid w:val="009D6F69"/>
    <w:rsid w:val="009E78E3"/>
    <w:rsid w:val="00B06654"/>
    <w:rsid w:val="00B142FA"/>
    <w:rsid w:val="00B34E14"/>
    <w:rsid w:val="00BD039D"/>
    <w:rsid w:val="00CB4D37"/>
    <w:rsid w:val="00CD3CA2"/>
    <w:rsid w:val="00D15858"/>
    <w:rsid w:val="00D368F2"/>
    <w:rsid w:val="00D74F09"/>
    <w:rsid w:val="00E507A2"/>
    <w:rsid w:val="00EF26F0"/>
    <w:rsid w:val="00F17F62"/>
    <w:rsid w:val="00F40F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5FEA0-F818-43C1-83C8-A04890DC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D6EB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EB8"/>
  </w:style>
  <w:style w:type="paragraph" w:styleId="Alatunniste">
    <w:name w:val="footer"/>
    <w:basedOn w:val="Normaali"/>
    <w:link w:val="AlatunnisteChar"/>
    <w:uiPriority w:val="99"/>
    <w:unhideWhenUsed/>
    <w:rsid w:val="001D6EB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EB8"/>
  </w:style>
  <w:style w:type="table" w:styleId="TaulukkoRuudukko">
    <w:name w:val="Table Grid"/>
    <w:basedOn w:val="Normaalitaulukko"/>
    <w:uiPriority w:val="39"/>
    <w:rsid w:val="001D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4E7A"/>
    <w:pPr>
      <w:ind w:left="720"/>
      <w:contextualSpacing/>
    </w:pPr>
  </w:style>
  <w:style w:type="paragraph" w:styleId="Leipteksti">
    <w:name w:val="Body Text"/>
    <w:basedOn w:val="Normaali"/>
    <w:link w:val="LeiptekstiChar"/>
    <w:uiPriority w:val="1"/>
    <w:qFormat/>
    <w:rsid w:val="00056320"/>
    <w:pPr>
      <w:autoSpaceDE w:val="0"/>
      <w:autoSpaceDN w:val="0"/>
      <w:adjustRightInd w:val="0"/>
      <w:spacing w:after="0" w:line="240" w:lineRule="auto"/>
      <w:ind w:left="39"/>
    </w:pPr>
    <w:rPr>
      <w:rFonts w:ascii="Arial" w:hAnsi="Arial" w:cs="Arial"/>
      <w:sz w:val="20"/>
      <w:szCs w:val="20"/>
    </w:rPr>
  </w:style>
  <w:style w:type="character" w:customStyle="1" w:styleId="LeiptekstiChar">
    <w:name w:val="Leipäteksti Char"/>
    <w:basedOn w:val="Kappaleenoletusfontti"/>
    <w:link w:val="Leipteksti"/>
    <w:uiPriority w:val="1"/>
    <w:rsid w:val="00056320"/>
    <w:rPr>
      <w:rFonts w:ascii="Arial" w:hAnsi="Arial" w:cs="Arial"/>
      <w:sz w:val="20"/>
      <w:szCs w:val="20"/>
    </w:rPr>
  </w:style>
  <w:style w:type="paragraph" w:styleId="Seliteteksti">
    <w:name w:val="Balloon Text"/>
    <w:basedOn w:val="Normaali"/>
    <w:link w:val="SelitetekstiChar"/>
    <w:uiPriority w:val="99"/>
    <w:semiHidden/>
    <w:unhideWhenUsed/>
    <w:rsid w:val="006967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96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4649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Stadin ammattiopisto</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Vuolle-Apiala</dc:creator>
  <cp:keywords/>
  <dc:description/>
  <cp:lastModifiedBy>Mikko Haapala</cp:lastModifiedBy>
  <cp:revision>2</cp:revision>
  <cp:lastPrinted>2018-05-02T06:41:00Z</cp:lastPrinted>
  <dcterms:created xsi:type="dcterms:W3CDTF">2020-09-17T12:10:00Z</dcterms:created>
  <dcterms:modified xsi:type="dcterms:W3CDTF">2020-09-17T12:10:00Z</dcterms:modified>
</cp:coreProperties>
</file>